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27F" w:rsidRPr="00A72566" w:rsidRDefault="00ED427F">
      <w:pPr>
        <w:pStyle w:val="Title"/>
        <w:rPr>
          <w:rFonts w:cs="Times New Roman"/>
          <w:b w:val="0"/>
          <w:bCs w:val="0"/>
          <w:sz w:val="24"/>
          <w:szCs w:val="24"/>
        </w:rPr>
      </w:pPr>
      <w:r w:rsidRPr="00A72566">
        <w:rPr>
          <w:rFonts w:cs="Times New Roman"/>
          <w:b w:val="0"/>
          <w:bCs w:val="0"/>
          <w:sz w:val="24"/>
          <w:szCs w:val="24"/>
        </w:rPr>
        <w:t>Chapter One</w:t>
      </w:r>
    </w:p>
    <w:p w:rsidR="00ED427F" w:rsidRPr="00A72566" w:rsidRDefault="00ED427F">
      <w:pPr>
        <w:pStyle w:val="Title"/>
        <w:rPr>
          <w:rFonts w:cs="Times New Roman"/>
          <w:b w:val="0"/>
          <w:bCs w:val="0"/>
          <w:sz w:val="24"/>
          <w:szCs w:val="24"/>
        </w:rPr>
      </w:pPr>
    </w:p>
    <w:p w:rsidR="00ED427F" w:rsidRPr="00A72566" w:rsidRDefault="00ED427F" w:rsidP="00ED427F">
      <w:pPr>
        <w:pStyle w:val="Heading3"/>
        <w:jc w:val="center"/>
        <w:rPr>
          <w:b/>
          <w:bCs/>
          <w:sz w:val="28"/>
          <w:szCs w:val="28"/>
        </w:rPr>
      </w:pPr>
      <w:r w:rsidRPr="00A72566">
        <w:rPr>
          <w:b/>
          <w:bCs/>
          <w:sz w:val="28"/>
          <w:szCs w:val="28"/>
        </w:rPr>
        <w:t>Terms, Indicators and Classifications</w:t>
      </w:r>
    </w:p>
    <w:p w:rsidR="00ED427F" w:rsidRPr="00A72566" w:rsidRDefault="00ED427F" w:rsidP="009A0FF9">
      <w:pPr>
        <w:pStyle w:val="Title"/>
        <w:rPr>
          <w:rFonts w:cs="Times New Roman"/>
          <w:b w:val="0"/>
          <w:bCs w:val="0"/>
          <w:sz w:val="24"/>
          <w:szCs w:val="24"/>
        </w:rPr>
      </w:pPr>
    </w:p>
    <w:p w:rsidR="00ED427F" w:rsidRPr="00A72566" w:rsidRDefault="00ED427F" w:rsidP="009A0FF9">
      <w:pPr>
        <w:tabs>
          <w:tab w:val="left" w:pos="426"/>
          <w:tab w:val="left" w:pos="709"/>
        </w:tabs>
        <w:jc w:val="both"/>
        <w:rPr>
          <w:sz w:val="24"/>
          <w:szCs w:val="24"/>
        </w:rPr>
      </w:pPr>
      <w:r w:rsidRPr="00A72566">
        <w:rPr>
          <w:b/>
          <w:bCs/>
          <w:sz w:val="24"/>
          <w:szCs w:val="24"/>
        </w:rPr>
        <w:t>1.</w:t>
      </w:r>
      <w:r w:rsidR="00380E08" w:rsidRPr="00A72566">
        <w:rPr>
          <w:b/>
          <w:bCs/>
          <w:sz w:val="24"/>
          <w:szCs w:val="24"/>
        </w:rPr>
        <w:t>1</w:t>
      </w:r>
      <w:r w:rsidRPr="00A72566">
        <w:rPr>
          <w:sz w:val="24"/>
          <w:szCs w:val="24"/>
        </w:rPr>
        <w:t xml:space="preserve"> </w:t>
      </w:r>
      <w:r w:rsidRPr="00A72566">
        <w:rPr>
          <w:b/>
          <w:bCs/>
          <w:sz w:val="24"/>
          <w:szCs w:val="24"/>
        </w:rPr>
        <w:t>Terms and Indicators</w:t>
      </w:r>
    </w:p>
    <w:p w:rsidR="00FB62CF" w:rsidRPr="00A72566" w:rsidRDefault="008A37EB" w:rsidP="00FB62CF">
      <w:pPr>
        <w:pStyle w:val="BodyText3"/>
        <w:rPr>
          <w:color w:val="000000" w:themeColor="text1"/>
        </w:rPr>
      </w:pPr>
      <w:r w:rsidRPr="00A72566">
        <w:rPr>
          <w:color w:val="000000" w:themeColor="text1"/>
        </w:rPr>
        <w:t>The main terms and indicators used in this survey are:</w:t>
      </w:r>
    </w:p>
    <w:p w:rsidR="00FB62CF" w:rsidRPr="00A72566" w:rsidRDefault="00FB62CF" w:rsidP="00FB62CF">
      <w:pPr>
        <w:jc w:val="both"/>
        <w:rPr>
          <w:color w:val="000000" w:themeColor="text1"/>
          <w:sz w:val="16"/>
          <w:szCs w:val="16"/>
        </w:rPr>
      </w:pPr>
    </w:p>
    <w:p w:rsidR="00FB62CF" w:rsidRPr="00A72566" w:rsidRDefault="00FB62CF" w:rsidP="006D7C4B">
      <w:pPr>
        <w:pStyle w:val="BodyText3"/>
        <w:rPr>
          <w:b/>
          <w:bCs/>
          <w:color w:val="000000" w:themeColor="text1"/>
        </w:rPr>
      </w:pPr>
      <w:r w:rsidRPr="00A72566">
        <w:rPr>
          <w:b/>
          <w:bCs/>
          <w:color w:val="000000" w:themeColor="text1"/>
        </w:rPr>
        <w:t>Residenc</w:t>
      </w:r>
      <w:r w:rsidR="006D7C4B" w:rsidRPr="00A72566">
        <w:rPr>
          <w:b/>
          <w:bCs/>
          <w:color w:val="000000" w:themeColor="text1"/>
        </w:rPr>
        <w:t>e</w:t>
      </w:r>
      <w:r w:rsidRPr="00A72566">
        <w:rPr>
          <w:b/>
          <w:bCs/>
          <w:color w:val="000000" w:themeColor="text1"/>
        </w:rPr>
        <w:t>:</w:t>
      </w:r>
    </w:p>
    <w:p w:rsidR="009C373F" w:rsidRPr="00A72566" w:rsidRDefault="009C373F" w:rsidP="009C373F">
      <w:pPr>
        <w:jc w:val="both"/>
        <w:rPr>
          <w:color w:val="000000" w:themeColor="text1"/>
          <w:sz w:val="24"/>
          <w:szCs w:val="24"/>
        </w:rPr>
      </w:pPr>
      <w:r w:rsidRPr="00A72566">
        <w:rPr>
          <w:color w:val="000000" w:themeColor="text1"/>
          <w:sz w:val="24"/>
          <w:szCs w:val="24"/>
        </w:rPr>
        <w:t>It</w:t>
      </w:r>
      <w:r w:rsidR="00FB62CF" w:rsidRPr="00A72566">
        <w:rPr>
          <w:color w:val="000000" w:themeColor="text1"/>
          <w:sz w:val="24"/>
          <w:szCs w:val="24"/>
        </w:rPr>
        <w:t xml:space="preserve"> is defined </w:t>
      </w:r>
      <w:r w:rsidRPr="00A72566">
        <w:rPr>
          <w:color w:val="000000" w:themeColor="text1"/>
          <w:sz w:val="24"/>
          <w:szCs w:val="24"/>
        </w:rPr>
        <w:t xml:space="preserve">in economic, and not </w:t>
      </w:r>
      <w:r w:rsidR="00FB62CF" w:rsidRPr="00A72566">
        <w:rPr>
          <w:color w:val="000000" w:themeColor="text1"/>
          <w:sz w:val="24"/>
          <w:szCs w:val="24"/>
        </w:rPr>
        <w:t xml:space="preserve">legal </w:t>
      </w:r>
      <w:r w:rsidRPr="00A72566">
        <w:rPr>
          <w:color w:val="000000" w:themeColor="text1"/>
          <w:sz w:val="24"/>
          <w:szCs w:val="24"/>
        </w:rPr>
        <w:t>terms</w:t>
      </w:r>
      <w:r w:rsidR="00FB62CF" w:rsidRPr="00A72566">
        <w:rPr>
          <w:color w:val="000000" w:themeColor="text1"/>
          <w:sz w:val="24"/>
          <w:szCs w:val="24"/>
        </w:rPr>
        <w:t xml:space="preserve">.  The </w:t>
      </w:r>
      <w:r w:rsidRPr="00A72566">
        <w:rPr>
          <w:color w:val="000000" w:themeColor="text1"/>
          <w:sz w:val="24"/>
          <w:szCs w:val="24"/>
        </w:rPr>
        <w:t>main</w:t>
      </w:r>
      <w:r w:rsidR="00FB62CF" w:rsidRPr="00A72566">
        <w:rPr>
          <w:color w:val="000000" w:themeColor="text1"/>
          <w:sz w:val="24"/>
          <w:szCs w:val="24"/>
        </w:rPr>
        <w:t xml:space="preserve"> criterion to determine residenc</w:t>
      </w:r>
      <w:r w:rsidRPr="00A72566">
        <w:rPr>
          <w:color w:val="000000" w:themeColor="text1"/>
          <w:sz w:val="24"/>
          <w:szCs w:val="24"/>
        </w:rPr>
        <w:t>e</w:t>
      </w:r>
      <w:r w:rsidR="00FB62CF" w:rsidRPr="00A72566">
        <w:rPr>
          <w:color w:val="000000" w:themeColor="text1"/>
          <w:sz w:val="24"/>
          <w:szCs w:val="24"/>
        </w:rPr>
        <w:t xml:space="preserve"> of an entity is center of economic interest</w:t>
      </w:r>
      <w:r w:rsidR="00B30B18" w:rsidRPr="00A72566">
        <w:rPr>
          <w:color w:val="000000" w:themeColor="text1"/>
          <w:sz w:val="24"/>
          <w:szCs w:val="24"/>
        </w:rPr>
        <w:t>. Persons are considered residents of the country where they live for at least one year. Exceptions to this rule are embassy staff (but for locally employed people who are residents of the country where they live), patients who are treated abroad and students who live abroad even when their stay exceeds one year.</w:t>
      </w:r>
    </w:p>
    <w:p w:rsidR="00FB62CF" w:rsidRPr="00A72566" w:rsidRDefault="00FB62CF" w:rsidP="00FB62CF">
      <w:pPr>
        <w:jc w:val="both"/>
        <w:rPr>
          <w:color w:val="000000" w:themeColor="text1"/>
          <w:sz w:val="16"/>
          <w:szCs w:val="16"/>
        </w:rPr>
      </w:pPr>
    </w:p>
    <w:p w:rsidR="00FB62CF" w:rsidRPr="00A72566" w:rsidRDefault="009C373F" w:rsidP="00B30B18">
      <w:pPr>
        <w:pStyle w:val="BodyText3"/>
        <w:rPr>
          <w:color w:val="000000" w:themeColor="text1"/>
        </w:rPr>
      </w:pPr>
      <w:r w:rsidRPr="00A72566">
        <w:rPr>
          <w:b/>
          <w:bCs/>
          <w:color w:val="000000" w:themeColor="text1"/>
        </w:rPr>
        <w:t xml:space="preserve">Institutional </w:t>
      </w:r>
      <w:r w:rsidR="00B30B18" w:rsidRPr="00A72566">
        <w:rPr>
          <w:b/>
          <w:bCs/>
          <w:color w:val="000000" w:themeColor="text1"/>
        </w:rPr>
        <w:t>u</w:t>
      </w:r>
      <w:r w:rsidRPr="00A72566">
        <w:rPr>
          <w:b/>
          <w:bCs/>
          <w:color w:val="000000" w:themeColor="text1"/>
        </w:rPr>
        <w:t>nit</w:t>
      </w:r>
      <w:r w:rsidR="00B30B18" w:rsidRPr="00A72566">
        <w:rPr>
          <w:b/>
          <w:bCs/>
          <w:color w:val="000000" w:themeColor="text1"/>
        </w:rPr>
        <w:t>-enterprise</w:t>
      </w:r>
      <w:r w:rsidR="00FB62CF" w:rsidRPr="00A72566">
        <w:rPr>
          <w:b/>
          <w:bCs/>
          <w:color w:val="000000" w:themeColor="text1"/>
        </w:rPr>
        <w:t>:</w:t>
      </w:r>
    </w:p>
    <w:p w:rsidR="00FB62CF" w:rsidRPr="00A72566" w:rsidRDefault="00B30B18" w:rsidP="00B30B18">
      <w:pPr>
        <w:jc w:val="both"/>
        <w:rPr>
          <w:color w:val="000000" w:themeColor="text1"/>
          <w:sz w:val="24"/>
          <w:szCs w:val="24"/>
        </w:rPr>
      </w:pPr>
      <w:r w:rsidRPr="00A72566">
        <w:rPr>
          <w:color w:val="000000" w:themeColor="text1"/>
          <w:sz w:val="24"/>
          <w:szCs w:val="24"/>
        </w:rPr>
        <w:t>It is an</w:t>
      </w:r>
      <w:r w:rsidR="00FB62CF" w:rsidRPr="00A72566">
        <w:rPr>
          <w:color w:val="000000" w:themeColor="text1"/>
          <w:sz w:val="24"/>
          <w:szCs w:val="24"/>
        </w:rPr>
        <w:t xml:space="preserve"> economic entity </w:t>
      </w:r>
      <w:r w:rsidRPr="00A72566">
        <w:rPr>
          <w:color w:val="000000" w:themeColor="text1"/>
          <w:sz w:val="24"/>
          <w:szCs w:val="24"/>
        </w:rPr>
        <w:t>that is</w:t>
      </w:r>
      <w:r w:rsidR="00FB62CF" w:rsidRPr="00A72566">
        <w:rPr>
          <w:color w:val="000000" w:themeColor="text1"/>
          <w:sz w:val="24"/>
          <w:szCs w:val="24"/>
        </w:rPr>
        <w:t xml:space="preserve"> capable</w:t>
      </w:r>
      <w:r w:rsidRPr="00A72566">
        <w:rPr>
          <w:color w:val="000000" w:themeColor="text1"/>
          <w:sz w:val="24"/>
          <w:szCs w:val="24"/>
        </w:rPr>
        <w:t xml:space="preserve">, in its own right, </w:t>
      </w:r>
      <w:r w:rsidR="00FB62CF" w:rsidRPr="00A72566">
        <w:rPr>
          <w:color w:val="000000" w:themeColor="text1"/>
          <w:sz w:val="24"/>
          <w:szCs w:val="24"/>
        </w:rPr>
        <w:t xml:space="preserve">of </w:t>
      </w:r>
      <w:r w:rsidRPr="00A72566">
        <w:rPr>
          <w:color w:val="000000" w:themeColor="text1"/>
          <w:sz w:val="24"/>
          <w:szCs w:val="24"/>
        </w:rPr>
        <w:t>owning</w:t>
      </w:r>
      <w:r w:rsidR="00FB62CF" w:rsidRPr="00A72566">
        <w:rPr>
          <w:color w:val="000000" w:themeColor="text1"/>
          <w:sz w:val="24"/>
          <w:szCs w:val="24"/>
        </w:rPr>
        <w:t xml:space="preserve"> assets, </w:t>
      </w:r>
      <w:r w:rsidRPr="00A72566">
        <w:rPr>
          <w:color w:val="000000" w:themeColor="text1"/>
          <w:sz w:val="24"/>
          <w:szCs w:val="24"/>
        </w:rPr>
        <w:t>incurring</w:t>
      </w:r>
      <w:r w:rsidR="00FB62CF" w:rsidRPr="00A72566">
        <w:rPr>
          <w:color w:val="000000" w:themeColor="text1"/>
          <w:sz w:val="24"/>
          <w:szCs w:val="24"/>
        </w:rPr>
        <w:t xml:space="preserve"> liabilities, </w:t>
      </w:r>
      <w:r w:rsidRPr="00A72566">
        <w:rPr>
          <w:color w:val="000000" w:themeColor="text1"/>
          <w:sz w:val="24"/>
          <w:szCs w:val="24"/>
        </w:rPr>
        <w:t>and engaging in</w:t>
      </w:r>
      <w:r w:rsidR="00FB62CF" w:rsidRPr="00A72566">
        <w:rPr>
          <w:color w:val="000000" w:themeColor="text1"/>
          <w:sz w:val="24"/>
          <w:szCs w:val="24"/>
        </w:rPr>
        <w:t xml:space="preserve"> economic activities, and </w:t>
      </w:r>
      <w:r w:rsidRPr="00A72566">
        <w:rPr>
          <w:color w:val="000000" w:themeColor="text1"/>
          <w:sz w:val="24"/>
          <w:szCs w:val="24"/>
        </w:rPr>
        <w:t>in</w:t>
      </w:r>
      <w:r w:rsidR="00FB62CF" w:rsidRPr="00A72566">
        <w:rPr>
          <w:color w:val="000000" w:themeColor="text1"/>
          <w:sz w:val="24"/>
          <w:szCs w:val="24"/>
        </w:rPr>
        <w:t xml:space="preserve"> transactions with other </w:t>
      </w:r>
      <w:r w:rsidRPr="00A72566">
        <w:rPr>
          <w:color w:val="000000" w:themeColor="text1"/>
          <w:sz w:val="24"/>
          <w:szCs w:val="24"/>
        </w:rPr>
        <w:t>entities.</w:t>
      </w:r>
    </w:p>
    <w:p w:rsidR="00FB62CF" w:rsidRPr="00A72566" w:rsidRDefault="00FB62CF" w:rsidP="00FB62CF">
      <w:pPr>
        <w:jc w:val="both"/>
        <w:rPr>
          <w:color w:val="000000" w:themeColor="text1"/>
          <w:sz w:val="16"/>
          <w:szCs w:val="16"/>
        </w:rPr>
      </w:pPr>
    </w:p>
    <w:p w:rsidR="00FB62CF" w:rsidRPr="00A72566" w:rsidRDefault="00FB62CF" w:rsidP="00FB62CF">
      <w:pPr>
        <w:jc w:val="both"/>
        <w:rPr>
          <w:b/>
          <w:bCs/>
          <w:color w:val="000000" w:themeColor="text1"/>
          <w:sz w:val="24"/>
          <w:szCs w:val="24"/>
        </w:rPr>
      </w:pPr>
      <w:r w:rsidRPr="00A72566">
        <w:rPr>
          <w:b/>
          <w:bCs/>
          <w:color w:val="000000" w:themeColor="text1"/>
          <w:sz w:val="24"/>
          <w:szCs w:val="24"/>
        </w:rPr>
        <w:t>External Assets:</w:t>
      </w:r>
    </w:p>
    <w:p w:rsidR="00FB62CF" w:rsidRPr="00A72566" w:rsidRDefault="00FB62CF" w:rsidP="00FB62CF">
      <w:pPr>
        <w:jc w:val="both"/>
        <w:rPr>
          <w:color w:val="000000" w:themeColor="text1"/>
          <w:sz w:val="24"/>
          <w:szCs w:val="24"/>
        </w:rPr>
      </w:pPr>
      <w:r w:rsidRPr="00A72566">
        <w:rPr>
          <w:color w:val="000000" w:themeColor="text1"/>
          <w:sz w:val="24"/>
          <w:szCs w:val="24"/>
        </w:rPr>
        <w:t>The stocks invested abroad by residents in Palestine (individuals or enterprises).</w:t>
      </w:r>
    </w:p>
    <w:p w:rsidR="00FB62CF" w:rsidRPr="00A72566" w:rsidRDefault="00FB62CF" w:rsidP="00FB62CF">
      <w:pPr>
        <w:jc w:val="both"/>
        <w:rPr>
          <w:color w:val="000000" w:themeColor="text1"/>
          <w:sz w:val="16"/>
          <w:szCs w:val="16"/>
        </w:rPr>
      </w:pPr>
    </w:p>
    <w:p w:rsidR="00FB62CF" w:rsidRPr="00A72566" w:rsidRDefault="00FB62CF" w:rsidP="00FB62CF">
      <w:pPr>
        <w:jc w:val="both"/>
        <w:rPr>
          <w:b/>
          <w:bCs/>
          <w:color w:val="000000" w:themeColor="text1"/>
          <w:sz w:val="24"/>
          <w:szCs w:val="24"/>
        </w:rPr>
      </w:pPr>
      <w:r w:rsidRPr="00A72566">
        <w:rPr>
          <w:b/>
          <w:bCs/>
          <w:color w:val="000000" w:themeColor="text1"/>
          <w:sz w:val="24"/>
          <w:szCs w:val="24"/>
        </w:rPr>
        <w:t>Foreign Liabilities:</w:t>
      </w:r>
    </w:p>
    <w:p w:rsidR="00FB62CF" w:rsidRPr="00A72566" w:rsidRDefault="00FB62CF" w:rsidP="00FB62CF">
      <w:pPr>
        <w:jc w:val="both"/>
        <w:rPr>
          <w:color w:val="000000" w:themeColor="text1"/>
          <w:sz w:val="24"/>
          <w:szCs w:val="24"/>
        </w:rPr>
      </w:pPr>
      <w:r w:rsidRPr="00A72566">
        <w:rPr>
          <w:color w:val="000000" w:themeColor="text1"/>
          <w:sz w:val="24"/>
          <w:szCs w:val="24"/>
        </w:rPr>
        <w:t>The stocks of non-residents (individuals or enterprises) invested in enterprises located in Palestine.</w:t>
      </w:r>
    </w:p>
    <w:p w:rsidR="00FB62CF" w:rsidRPr="00A72566" w:rsidRDefault="00FB62CF" w:rsidP="00FB62CF">
      <w:pPr>
        <w:jc w:val="both"/>
        <w:rPr>
          <w:color w:val="000000" w:themeColor="text1"/>
          <w:sz w:val="16"/>
          <w:szCs w:val="16"/>
        </w:rPr>
      </w:pPr>
    </w:p>
    <w:p w:rsidR="00FB62CF" w:rsidRPr="00A72566" w:rsidRDefault="00FB62CF" w:rsidP="00FB62CF">
      <w:pPr>
        <w:jc w:val="both"/>
        <w:rPr>
          <w:b/>
          <w:bCs/>
          <w:color w:val="000000" w:themeColor="text1"/>
          <w:sz w:val="24"/>
          <w:szCs w:val="24"/>
        </w:rPr>
      </w:pPr>
      <w:r w:rsidRPr="00A72566">
        <w:rPr>
          <w:b/>
          <w:bCs/>
          <w:color w:val="000000" w:themeColor="text1"/>
          <w:sz w:val="24"/>
          <w:szCs w:val="24"/>
        </w:rPr>
        <w:t>Direct Investment Enterprise</w:t>
      </w:r>
      <w:r w:rsidR="00B30B18" w:rsidRPr="00A72566">
        <w:rPr>
          <w:b/>
          <w:bCs/>
          <w:color w:val="000000" w:themeColor="text1"/>
          <w:sz w:val="24"/>
          <w:szCs w:val="24"/>
        </w:rPr>
        <w:t>s</w:t>
      </w:r>
      <w:r w:rsidRPr="00A72566">
        <w:rPr>
          <w:b/>
          <w:bCs/>
          <w:color w:val="000000" w:themeColor="text1"/>
          <w:sz w:val="24"/>
          <w:szCs w:val="24"/>
        </w:rPr>
        <w:t>:</w:t>
      </w:r>
    </w:p>
    <w:p w:rsidR="00FB62CF" w:rsidRPr="00A72566" w:rsidRDefault="00FB62CF" w:rsidP="00474740">
      <w:pPr>
        <w:jc w:val="both"/>
        <w:rPr>
          <w:color w:val="000000" w:themeColor="text1"/>
          <w:sz w:val="24"/>
          <w:szCs w:val="24"/>
        </w:rPr>
      </w:pPr>
      <w:r w:rsidRPr="00A72566">
        <w:rPr>
          <w:color w:val="000000" w:themeColor="text1"/>
          <w:sz w:val="24"/>
          <w:szCs w:val="24"/>
        </w:rPr>
        <w:t>An incorporated or unincorporated enterprise in w</w:t>
      </w:r>
      <w:r w:rsidR="00474740">
        <w:rPr>
          <w:color w:val="000000" w:themeColor="text1"/>
          <w:sz w:val="24"/>
          <w:szCs w:val="24"/>
        </w:rPr>
        <w:t>hich a foreign investor owns 10%</w:t>
      </w:r>
      <w:r w:rsidRPr="00A72566">
        <w:rPr>
          <w:color w:val="000000" w:themeColor="text1"/>
          <w:sz w:val="24"/>
          <w:szCs w:val="24"/>
        </w:rPr>
        <w:t xml:space="preserve"> or more of the ordinary shares or voting power for an incorporated enterprise, or the equivalent for an unincorporated enterprise.</w:t>
      </w:r>
    </w:p>
    <w:p w:rsidR="00FB62CF" w:rsidRPr="00A72566" w:rsidRDefault="00FB62CF" w:rsidP="00FB62CF">
      <w:pPr>
        <w:jc w:val="both"/>
        <w:rPr>
          <w:color w:val="000000" w:themeColor="text1"/>
          <w:sz w:val="16"/>
          <w:szCs w:val="16"/>
        </w:rPr>
      </w:pPr>
    </w:p>
    <w:p w:rsidR="00FB62CF" w:rsidRPr="00A72566" w:rsidRDefault="00B30B18" w:rsidP="009C373F">
      <w:pPr>
        <w:jc w:val="both"/>
        <w:rPr>
          <w:b/>
          <w:bCs/>
          <w:color w:val="000000" w:themeColor="text1"/>
          <w:sz w:val="24"/>
          <w:szCs w:val="24"/>
        </w:rPr>
      </w:pPr>
      <w:r w:rsidRPr="00A72566">
        <w:rPr>
          <w:b/>
          <w:bCs/>
          <w:color w:val="000000" w:themeColor="text1"/>
          <w:sz w:val="24"/>
          <w:szCs w:val="24"/>
        </w:rPr>
        <w:t xml:space="preserve">Foreign </w:t>
      </w:r>
      <w:r w:rsidR="00FB62CF" w:rsidRPr="00A72566">
        <w:rPr>
          <w:b/>
          <w:bCs/>
          <w:color w:val="000000" w:themeColor="text1"/>
          <w:sz w:val="24"/>
          <w:szCs w:val="24"/>
        </w:rPr>
        <w:t>Direct Invest</w:t>
      </w:r>
      <w:r w:rsidR="009C373F" w:rsidRPr="00A72566">
        <w:rPr>
          <w:b/>
          <w:bCs/>
          <w:color w:val="000000" w:themeColor="text1"/>
          <w:sz w:val="24"/>
          <w:szCs w:val="24"/>
        </w:rPr>
        <w:t>ment</w:t>
      </w:r>
      <w:r w:rsidR="00FB62CF" w:rsidRPr="00A72566">
        <w:rPr>
          <w:b/>
          <w:bCs/>
          <w:color w:val="000000" w:themeColor="text1"/>
          <w:sz w:val="24"/>
          <w:szCs w:val="24"/>
        </w:rPr>
        <w:t>:</w:t>
      </w:r>
    </w:p>
    <w:p w:rsidR="00FB62CF" w:rsidRPr="00A72566" w:rsidRDefault="00B30B18" w:rsidP="00474740">
      <w:pPr>
        <w:jc w:val="both"/>
        <w:rPr>
          <w:color w:val="000000" w:themeColor="text1"/>
          <w:sz w:val="24"/>
          <w:szCs w:val="24"/>
        </w:rPr>
      </w:pPr>
      <w:r w:rsidRPr="00A72566">
        <w:rPr>
          <w:color w:val="000000" w:themeColor="text1"/>
          <w:sz w:val="24"/>
          <w:szCs w:val="24"/>
        </w:rPr>
        <w:t>This category includes investment over which the owner exercises control. In practice, the distinguishing criterion for inclusion in this category is that the owner should hold at least</w:t>
      </w:r>
      <w:r w:rsidR="00474740">
        <w:rPr>
          <w:color w:val="000000" w:themeColor="text1"/>
          <w:sz w:val="24"/>
          <w:szCs w:val="24"/>
        </w:rPr>
        <w:t xml:space="preserve">    10%</w:t>
      </w:r>
      <w:r w:rsidRPr="00A72566">
        <w:rPr>
          <w:color w:val="000000" w:themeColor="text1"/>
          <w:sz w:val="24"/>
          <w:szCs w:val="24"/>
        </w:rPr>
        <w:t xml:space="preserve"> of the ordinary shares in the </w:t>
      </w:r>
      <w:r w:rsidR="002774AD" w:rsidRPr="00A72566">
        <w:rPr>
          <w:color w:val="000000" w:themeColor="text1"/>
          <w:sz w:val="24"/>
          <w:szCs w:val="24"/>
        </w:rPr>
        <w:t>company</w:t>
      </w:r>
      <w:r w:rsidRPr="00A72566">
        <w:rPr>
          <w:color w:val="000000" w:themeColor="text1"/>
          <w:sz w:val="24"/>
          <w:szCs w:val="24"/>
        </w:rPr>
        <w:t>.</w:t>
      </w:r>
      <w:r w:rsidR="002774AD" w:rsidRPr="00A72566">
        <w:rPr>
          <w:color w:val="000000" w:themeColor="text1"/>
          <w:sz w:val="24"/>
          <w:szCs w:val="24"/>
        </w:rPr>
        <w:t xml:space="preserve"> </w:t>
      </w:r>
      <w:r w:rsidR="00474740" w:rsidRPr="00474740">
        <w:rPr>
          <w:color w:val="000000" w:themeColor="text1"/>
          <w:sz w:val="24"/>
          <w:szCs w:val="24"/>
        </w:rPr>
        <w:t>so that's</w:t>
      </w:r>
      <w:r w:rsidR="002774AD" w:rsidRPr="00A72566">
        <w:rPr>
          <w:color w:val="000000" w:themeColor="text1"/>
          <w:sz w:val="24"/>
          <w:szCs w:val="24"/>
        </w:rPr>
        <w:t>, this criterion should be applied somewhat flexibly to ensure that assets over which the owner exercises control are classified as direct investment. Acquisitions and disposals of land –</w:t>
      </w:r>
      <w:r w:rsidR="001B7980">
        <w:rPr>
          <w:color w:val="000000" w:themeColor="text1"/>
          <w:sz w:val="24"/>
          <w:szCs w:val="24"/>
        </w:rPr>
        <w:t xml:space="preserve"> </w:t>
      </w:r>
      <w:r w:rsidR="002774AD" w:rsidRPr="00A72566">
        <w:rPr>
          <w:color w:val="000000" w:themeColor="text1"/>
          <w:sz w:val="24"/>
          <w:szCs w:val="24"/>
        </w:rPr>
        <w:t>other than when foreign embassies are involved</w:t>
      </w:r>
      <w:r w:rsidR="001B7980">
        <w:rPr>
          <w:color w:val="000000" w:themeColor="text1"/>
          <w:sz w:val="24"/>
          <w:szCs w:val="24"/>
        </w:rPr>
        <w:t xml:space="preserve"> </w:t>
      </w:r>
      <w:r w:rsidR="002774AD" w:rsidRPr="00A72566">
        <w:rPr>
          <w:color w:val="000000" w:themeColor="text1"/>
          <w:sz w:val="24"/>
          <w:szCs w:val="24"/>
        </w:rPr>
        <w:t xml:space="preserve">– are also included. </w:t>
      </w:r>
    </w:p>
    <w:p w:rsidR="00FB62CF" w:rsidRPr="00A72566" w:rsidRDefault="00FB62CF" w:rsidP="00FB62CF">
      <w:pPr>
        <w:jc w:val="both"/>
        <w:rPr>
          <w:color w:val="000000" w:themeColor="text1"/>
          <w:sz w:val="16"/>
          <w:szCs w:val="16"/>
        </w:rPr>
      </w:pPr>
    </w:p>
    <w:p w:rsidR="00FB62CF" w:rsidRPr="00A72566" w:rsidRDefault="00FB62CF" w:rsidP="009C373F">
      <w:pPr>
        <w:jc w:val="both"/>
        <w:rPr>
          <w:b/>
          <w:bCs/>
          <w:color w:val="000000" w:themeColor="text1"/>
          <w:sz w:val="24"/>
          <w:szCs w:val="24"/>
        </w:rPr>
      </w:pPr>
      <w:r w:rsidRPr="00A72566">
        <w:rPr>
          <w:b/>
          <w:bCs/>
          <w:color w:val="000000" w:themeColor="text1"/>
          <w:sz w:val="24"/>
          <w:szCs w:val="24"/>
        </w:rPr>
        <w:t>Portfolio Invest</w:t>
      </w:r>
      <w:r w:rsidR="009C373F" w:rsidRPr="00A72566">
        <w:rPr>
          <w:b/>
          <w:bCs/>
          <w:color w:val="000000" w:themeColor="text1"/>
          <w:sz w:val="24"/>
          <w:szCs w:val="24"/>
        </w:rPr>
        <w:t>ment</w:t>
      </w:r>
      <w:r w:rsidRPr="00A72566">
        <w:rPr>
          <w:b/>
          <w:bCs/>
          <w:color w:val="000000" w:themeColor="text1"/>
          <w:sz w:val="24"/>
          <w:szCs w:val="24"/>
        </w:rPr>
        <w:t>:</w:t>
      </w:r>
    </w:p>
    <w:p w:rsidR="00FB62CF" w:rsidRPr="00A72566" w:rsidRDefault="002774AD" w:rsidP="002774AD">
      <w:pPr>
        <w:jc w:val="both"/>
        <w:rPr>
          <w:color w:val="000000" w:themeColor="text1"/>
          <w:sz w:val="24"/>
          <w:szCs w:val="24"/>
        </w:rPr>
      </w:pPr>
      <w:r w:rsidRPr="00A72566">
        <w:rPr>
          <w:color w:val="000000" w:themeColor="text1"/>
          <w:sz w:val="24"/>
          <w:szCs w:val="24"/>
        </w:rPr>
        <w:t>Is a residual category for transactions in shares, bonds, bills, notes, money market instruments and financial derivatives. It is residual because these instruments are also included under direct investment and reserve assets. Portfolio investment is divided into two main categories: equity and debt. Shares are equity investment and the remaining instruments are debt investment</w:t>
      </w:r>
      <w:r w:rsidR="00FB62CF" w:rsidRPr="00A72566">
        <w:rPr>
          <w:color w:val="000000" w:themeColor="text1"/>
          <w:sz w:val="24"/>
          <w:szCs w:val="24"/>
        </w:rPr>
        <w:t>.</w:t>
      </w:r>
    </w:p>
    <w:p w:rsidR="00FB62CF" w:rsidRPr="00A72566" w:rsidRDefault="00FB62CF" w:rsidP="00FB62CF">
      <w:pPr>
        <w:jc w:val="both"/>
        <w:rPr>
          <w:color w:val="000000" w:themeColor="text1"/>
          <w:sz w:val="16"/>
          <w:szCs w:val="16"/>
        </w:rPr>
      </w:pPr>
    </w:p>
    <w:p w:rsidR="00FB62CF" w:rsidRPr="00A72566" w:rsidRDefault="00FB62CF" w:rsidP="00FB62CF">
      <w:pPr>
        <w:jc w:val="both"/>
        <w:rPr>
          <w:b/>
          <w:bCs/>
          <w:color w:val="000000" w:themeColor="text1"/>
          <w:sz w:val="24"/>
          <w:szCs w:val="24"/>
        </w:rPr>
      </w:pPr>
      <w:r w:rsidRPr="00A72566">
        <w:rPr>
          <w:b/>
          <w:bCs/>
          <w:color w:val="000000" w:themeColor="text1"/>
          <w:sz w:val="24"/>
          <w:szCs w:val="24"/>
        </w:rPr>
        <w:t>Other Foreign Investments:</w:t>
      </w:r>
    </w:p>
    <w:p w:rsidR="00FB62CF" w:rsidRPr="00A72566" w:rsidRDefault="002774AD" w:rsidP="002774AD">
      <w:pPr>
        <w:jc w:val="both"/>
        <w:rPr>
          <w:color w:val="000000" w:themeColor="text1"/>
          <w:sz w:val="24"/>
          <w:szCs w:val="24"/>
        </w:rPr>
      </w:pPr>
      <w:r w:rsidRPr="00A72566">
        <w:rPr>
          <w:color w:val="000000" w:themeColor="text1"/>
          <w:sz w:val="24"/>
          <w:szCs w:val="24"/>
        </w:rPr>
        <w:t>Under o</w:t>
      </w:r>
      <w:r w:rsidR="00FB62CF" w:rsidRPr="00A72566">
        <w:rPr>
          <w:color w:val="000000" w:themeColor="text1"/>
          <w:sz w:val="24"/>
          <w:szCs w:val="24"/>
        </w:rPr>
        <w:t xml:space="preserve">ther investments </w:t>
      </w:r>
      <w:r w:rsidRPr="00A72566">
        <w:rPr>
          <w:color w:val="000000" w:themeColor="text1"/>
          <w:sz w:val="24"/>
          <w:szCs w:val="24"/>
        </w:rPr>
        <w:t xml:space="preserve">are </w:t>
      </w:r>
      <w:r w:rsidR="00FB62CF" w:rsidRPr="00A72566">
        <w:rPr>
          <w:color w:val="000000" w:themeColor="text1"/>
          <w:sz w:val="24"/>
          <w:szCs w:val="24"/>
        </w:rPr>
        <w:t>include</w:t>
      </w:r>
      <w:r w:rsidRPr="00A72566">
        <w:rPr>
          <w:color w:val="000000" w:themeColor="text1"/>
          <w:sz w:val="24"/>
          <w:szCs w:val="24"/>
        </w:rPr>
        <w:t>d</w:t>
      </w:r>
      <w:r w:rsidR="00FB62CF" w:rsidRPr="00A72566">
        <w:rPr>
          <w:color w:val="000000" w:themeColor="text1"/>
          <w:sz w:val="24"/>
          <w:szCs w:val="24"/>
        </w:rPr>
        <w:t xml:space="preserve"> all</w:t>
      </w:r>
      <w:r w:rsidRPr="00A72566">
        <w:rPr>
          <w:color w:val="000000" w:themeColor="text1"/>
          <w:sz w:val="24"/>
          <w:szCs w:val="24"/>
        </w:rPr>
        <w:t xml:space="preserve"> transactions in financial assets and liabilities, which are not classified </w:t>
      </w:r>
      <w:r w:rsidR="00620936" w:rsidRPr="00A72566">
        <w:rPr>
          <w:color w:val="000000" w:themeColor="text1"/>
          <w:sz w:val="24"/>
          <w:szCs w:val="24"/>
        </w:rPr>
        <w:t xml:space="preserve">under </w:t>
      </w:r>
      <w:r w:rsidRPr="00A72566">
        <w:rPr>
          <w:color w:val="000000" w:themeColor="text1"/>
          <w:sz w:val="24"/>
          <w:szCs w:val="24"/>
        </w:rPr>
        <w:t xml:space="preserve">any of the three other broad categories. The most important of these are currency, deposits and </w:t>
      </w:r>
      <w:r w:rsidR="00620936" w:rsidRPr="00A72566">
        <w:rPr>
          <w:color w:val="000000" w:themeColor="text1"/>
          <w:sz w:val="24"/>
          <w:szCs w:val="24"/>
        </w:rPr>
        <w:t>loans (including trade credits)</w:t>
      </w:r>
      <w:r w:rsidR="00FB62CF" w:rsidRPr="00A72566">
        <w:rPr>
          <w:color w:val="000000" w:themeColor="text1"/>
          <w:sz w:val="24"/>
          <w:szCs w:val="24"/>
        </w:rPr>
        <w:t>.</w:t>
      </w:r>
    </w:p>
    <w:p w:rsidR="00FB62CF" w:rsidRPr="00A72566" w:rsidRDefault="00FB62CF" w:rsidP="00FB62CF">
      <w:pPr>
        <w:jc w:val="both"/>
        <w:rPr>
          <w:color w:val="000000" w:themeColor="text1"/>
          <w:sz w:val="24"/>
          <w:szCs w:val="24"/>
        </w:rPr>
      </w:pPr>
    </w:p>
    <w:p w:rsidR="008A37EB" w:rsidRPr="00A72566" w:rsidRDefault="008A37EB" w:rsidP="00FB62CF">
      <w:pPr>
        <w:jc w:val="both"/>
        <w:rPr>
          <w:b/>
          <w:bCs/>
          <w:color w:val="000000" w:themeColor="text1"/>
          <w:sz w:val="24"/>
          <w:szCs w:val="24"/>
        </w:rPr>
      </w:pPr>
    </w:p>
    <w:p w:rsidR="008A37EB" w:rsidRPr="00A72566" w:rsidRDefault="008A37EB" w:rsidP="00FB62CF">
      <w:pPr>
        <w:jc w:val="both"/>
        <w:rPr>
          <w:b/>
          <w:bCs/>
          <w:color w:val="000000" w:themeColor="text1"/>
          <w:sz w:val="24"/>
          <w:szCs w:val="24"/>
        </w:rPr>
      </w:pPr>
    </w:p>
    <w:p w:rsidR="008A37EB" w:rsidRPr="00A72566" w:rsidRDefault="008A37EB" w:rsidP="00FB62CF">
      <w:pPr>
        <w:jc w:val="both"/>
        <w:rPr>
          <w:b/>
          <w:bCs/>
          <w:color w:val="000000" w:themeColor="text1"/>
          <w:sz w:val="24"/>
          <w:szCs w:val="24"/>
        </w:rPr>
      </w:pPr>
    </w:p>
    <w:p w:rsidR="00FB62CF" w:rsidRPr="00A72566" w:rsidRDefault="00FB62CF" w:rsidP="00FB62CF">
      <w:pPr>
        <w:jc w:val="both"/>
        <w:rPr>
          <w:b/>
          <w:bCs/>
          <w:color w:val="000000" w:themeColor="text1"/>
          <w:sz w:val="24"/>
          <w:szCs w:val="24"/>
        </w:rPr>
      </w:pPr>
      <w:r w:rsidRPr="00A72566">
        <w:rPr>
          <w:b/>
          <w:bCs/>
          <w:color w:val="000000" w:themeColor="text1"/>
          <w:sz w:val="24"/>
          <w:szCs w:val="24"/>
        </w:rPr>
        <w:lastRenderedPageBreak/>
        <w:t>Reserve Assets:</w:t>
      </w:r>
    </w:p>
    <w:p w:rsidR="00FB62CF" w:rsidRPr="00A72566" w:rsidRDefault="009C373F" w:rsidP="009C373F">
      <w:pPr>
        <w:autoSpaceDE w:val="0"/>
        <w:autoSpaceDN w:val="0"/>
        <w:adjustRightInd w:val="0"/>
        <w:jc w:val="both"/>
        <w:rPr>
          <w:b/>
          <w:bCs/>
          <w:color w:val="000000" w:themeColor="text1"/>
          <w:sz w:val="24"/>
          <w:szCs w:val="24"/>
        </w:rPr>
      </w:pPr>
      <w:r w:rsidRPr="00A72566">
        <w:rPr>
          <w:color w:val="000000" w:themeColor="text1"/>
          <w:sz w:val="24"/>
          <w:szCs w:val="24"/>
        </w:rPr>
        <w:t>A</w:t>
      </w:r>
      <w:r w:rsidR="00FB62CF" w:rsidRPr="00A72566">
        <w:rPr>
          <w:color w:val="000000" w:themeColor="text1"/>
          <w:sz w:val="24"/>
          <w:szCs w:val="24"/>
        </w:rPr>
        <w:t>re assets that must be controllable by the Monetary Authority</w:t>
      </w:r>
      <w:r w:rsidRPr="00A72566">
        <w:rPr>
          <w:color w:val="000000" w:themeColor="text1"/>
          <w:sz w:val="24"/>
          <w:szCs w:val="24"/>
        </w:rPr>
        <w:t>,</w:t>
      </w:r>
      <w:r w:rsidR="00FB62CF" w:rsidRPr="00A72566">
        <w:rPr>
          <w:color w:val="000000" w:themeColor="text1"/>
          <w:sz w:val="24"/>
          <w:szCs w:val="24"/>
        </w:rPr>
        <w:t xml:space="preserve">  They must be accessible to the Monetary Authority at relatively short notice for balance of payments purposes</w:t>
      </w:r>
      <w:r w:rsidRPr="00A72566">
        <w:rPr>
          <w:color w:val="000000" w:themeColor="text1"/>
          <w:sz w:val="24"/>
          <w:szCs w:val="24"/>
        </w:rPr>
        <w:t>,</w:t>
      </w:r>
      <w:r w:rsidR="00FB62CF" w:rsidRPr="00A72566">
        <w:rPr>
          <w:color w:val="000000" w:themeColor="text1"/>
          <w:sz w:val="24"/>
          <w:szCs w:val="24"/>
        </w:rPr>
        <w:t xml:space="preserve"> and </w:t>
      </w:r>
      <w:r w:rsidRPr="00A72566">
        <w:rPr>
          <w:color w:val="000000" w:themeColor="text1"/>
          <w:sz w:val="24"/>
          <w:szCs w:val="24"/>
        </w:rPr>
        <w:t xml:space="preserve">they must </w:t>
      </w:r>
      <w:r w:rsidR="00FB62CF" w:rsidRPr="00A72566">
        <w:rPr>
          <w:color w:val="000000" w:themeColor="text1"/>
          <w:sz w:val="24"/>
          <w:szCs w:val="24"/>
        </w:rPr>
        <w:t>be denominated in a convertible currency.</w:t>
      </w:r>
    </w:p>
    <w:p w:rsidR="00FB62CF" w:rsidRPr="00A27CD1" w:rsidRDefault="00FB62CF" w:rsidP="00FB62CF">
      <w:pPr>
        <w:autoSpaceDE w:val="0"/>
        <w:autoSpaceDN w:val="0"/>
        <w:adjustRightInd w:val="0"/>
        <w:jc w:val="both"/>
        <w:rPr>
          <w:b/>
          <w:bCs/>
          <w:color w:val="FF0000"/>
          <w:sz w:val="28"/>
          <w:szCs w:val="28"/>
        </w:rPr>
      </w:pPr>
    </w:p>
    <w:p w:rsidR="00380E08" w:rsidRPr="00A72566" w:rsidRDefault="00380E08" w:rsidP="00FB62CF">
      <w:pPr>
        <w:autoSpaceDE w:val="0"/>
        <w:autoSpaceDN w:val="0"/>
        <w:adjustRightInd w:val="0"/>
        <w:jc w:val="both"/>
        <w:rPr>
          <w:b/>
          <w:bCs/>
          <w:sz w:val="24"/>
          <w:szCs w:val="24"/>
        </w:rPr>
      </w:pPr>
      <w:r w:rsidRPr="00A72566">
        <w:rPr>
          <w:b/>
          <w:bCs/>
          <w:sz w:val="24"/>
          <w:szCs w:val="24"/>
        </w:rPr>
        <w:t>1.</w:t>
      </w:r>
      <w:r w:rsidR="00D6131B" w:rsidRPr="00A72566">
        <w:rPr>
          <w:b/>
          <w:bCs/>
          <w:sz w:val="24"/>
          <w:szCs w:val="24"/>
        </w:rPr>
        <w:t>2</w:t>
      </w:r>
      <w:r w:rsidRPr="00A72566">
        <w:rPr>
          <w:b/>
          <w:bCs/>
          <w:sz w:val="24"/>
          <w:szCs w:val="24"/>
        </w:rPr>
        <w:t xml:space="preserve"> Classifications</w:t>
      </w:r>
    </w:p>
    <w:p w:rsidR="00380E08" w:rsidRPr="00A72566" w:rsidRDefault="008A37EB" w:rsidP="00843970">
      <w:pPr>
        <w:tabs>
          <w:tab w:val="left" w:pos="426"/>
          <w:tab w:val="left" w:pos="709"/>
        </w:tabs>
        <w:jc w:val="both"/>
        <w:rPr>
          <w:sz w:val="24"/>
          <w:szCs w:val="24"/>
        </w:rPr>
      </w:pPr>
      <w:r w:rsidRPr="00A72566">
        <w:rPr>
          <w:sz w:val="24"/>
          <w:szCs w:val="24"/>
        </w:rPr>
        <w:t>The c</w:t>
      </w:r>
      <w:r w:rsidR="00380E08" w:rsidRPr="00A72566">
        <w:rPr>
          <w:sz w:val="24"/>
          <w:szCs w:val="24"/>
        </w:rPr>
        <w:t xml:space="preserve">lassifications </w:t>
      </w:r>
      <w:r w:rsidRPr="00A72566">
        <w:rPr>
          <w:sz w:val="24"/>
          <w:szCs w:val="24"/>
        </w:rPr>
        <w:t xml:space="preserve">adopted and </w:t>
      </w:r>
      <w:r w:rsidR="00380E08" w:rsidRPr="00A72566">
        <w:rPr>
          <w:sz w:val="24"/>
          <w:szCs w:val="24"/>
        </w:rPr>
        <w:t xml:space="preserve">used </w:t>
      </w:r>
      <w:r w:rsidRPr="00A72566">
        <w:rPr>
          <w:sz w:val="24"/>
          <w:szCs w:val="24"/>
        </w:rPr>
        <w:t xml:space="preserve">by PCBS </w:t>
      </w:r>
      <w:r w:rsidR="00380E08" w:rsidRPr="00A72566">
        <w:rPr>
          <w:sz w:val="24"/>
          <w:szCs w:val="24"/>
        </w:rPr>
        <w:t xml:space="preserve">in the process of collection and processing of statistical data, </w:t>
      </w:r>
      <w:r w:rsidR="000B3C58" w:rsidRPr="00A72566">
        <w:rPr>
          <w:sz w:val="24"/>
          <w:szCs w:val="24"/>
        </w:rPr>
        <w:t>a</w:t>
      </w:r>
      <w:r w:rsidR="00380E08" w:rsidRPr="00A72566">
        <w:rPr>
          <w:sz w:val="24"/>
          <w:szCs w:val="24"/>
        </w:rPr>
        <w:t xml:space="preserve">ccording to international standards. </w:t>
      </w:r>
      <w:r w:rsidRPr="00A72566">
        <w:rPr>
          <w:sz w:val="24"/>
          <w:szCs w:val="24"/>
        </w:rPr>
        <w:t>They include</w:t>
      </w:r>
      <w:r w:rsidR="00380E08" w:rsidRPr="00A72566">
        <w:rPr>
          <w:sz w:val="24"/>
          <w:szCs w:val="24"/>
        </w:rPr>
        <w:t xml:space="preserve"> the </w:t>
      </w:r>
      <w:r w:rsidR="00380E08" w:rsidRPr="00A72566">
        <w:rPr>
          <w:b/>
          <w:bCs/>
          <w:sz w:val="24"/>
          <w:szCs w:val="24"/>
        </w:rPr>
        <w:t>International Standard Industrial Classification of All Economic Activities (ISIC-4)</w:t>
      </w:r>
      <w:r w:rsidR="00380E08" w:rsidRPr="00A72566">
        <w:rPr>
          <w:sz w:val="24"/>
          <w:szCs w:val="24"/>
        </w:rPr>
        <w:t xml:space="preserve"> issued by the United Nations. In addition to </w:t>
      </w:r>
      <w:r w:rsidR="00380E08" w:rsidRPr="00A72566">
        <w:rPr>
          <w:b/>
          <w:bCs/>
          <w:sz w:val="24"/>
          <w:szCs w:val="24"/>
        </w:rPr>
        <w:t>Balance of Payments</w:t>
      </w:r>
      <w:r w:rsidR="003B352B" w:rsidRPr="00A72566">
        <w:rPr>
          <w:b/>
          <w:bCs/>
          <w:sz w:val="24"/>
          <w:szCs w:val="24"/>
        </w:rPr>
        <w:t xml:space="preserve"> </w:t>
      </w:r>
      <w:r w:rsidR="00380E08" w:rsidRPr="00A72566">
        <w:rPr>
          <w:b/>
          <w:bCs/>
          <w:sz w:val="24"/>
          <w:szCs w:val="24"/>
        </w:rPr>
        <w:t xml:space="preserve">Manual </w:t>
      </w:r>
      <w:r w:rsidR="00FB62CF" w:rsidRPr="00A72566">
        <w:rPr>
          <w:b/>
          <w:bCs/>
          <w:sz w:val="24"/>
          <w:szCs w:val="24"/>
        </w:rPr>
        <w:t>5</w:t>
      </w:r>
      <w:r w:rsidR="00380E08" w:rsidRPr="00A72566">
        <w:rPr>
          <w:b/>
          <w:bCs/>
          <w:sz w:val="24"/>
          <w:szCs w:val="24"/>
          <w:vertAlign w:val="superscript"/>
        </w:rPr>
        <w:t>th</w:t>
      </w:r>
      <w:r w:rsidR="00380E08" w:rsidRPr="00A72566">
        <w:rPr>
          <w:b/>
          <w:bCs/>
          <w:sz w:val="24"/>
          <w:szCs w:val="24"/>
        </w:rPr>
        <w:t xml:space="preserve"> edition (BPM-</w:t>
      </w:r>
      <w:r w:rsidR="00904A92">
        <w:rPr>
          <w:b/>
          <w:bCs/>
          <w:sz w:val="24"/>
          <w:szCs w:val="24"/>
        </w:rPr>
        <w:t>5</w:t>
      </w:r>
      <w:r w:rsidR="00380E08" w:rsidRPr="00A72566">
        <w:rPr>
          <w:b/>
          <w:bCs/>
          <w:sz w:val="24"/>
          <w:szCs w:val="24"/>
        </w:rPr>
        <w:t>)</w:t>
      </w:r>
      <w:r w:rsidR="00620936" w:rsidRPr="00A72566">
        <w:rPr>
          <w:sz w:val="24"/>
          <w:szCs w:val="24"/>
        </w:rPr>
        <w:t xml:space="preserve"> issued by International Monetary Fund.</w:t>
      </w:r>
    </w:p>
    <w:p w:rsidR="00ED427F" w:rsidRPr="00A72566" w:rsidRDefault="00ED427F">
      <w:pPr>
        <w:pStyle w:val="Title"/>
        <w:rPr>
          <w:rFonts w:cs="Times New Roman"/>
          <w:b w:val="0"/>
          <w:bCs w:val="0"/>
          <w:sz w:val="24"/>
          <w:szCs w:val="24"/>
        </w:rPr>
      </w:pPr>
    </w:p>
    <w:p w:rsidR="00ED427F" w:rsidRPr="00A72566" w:rsidRDefault="00ED427F" w:rsidP="00380E08">
      <w:pPr>
        <w:pStyle w:val="Title"/>
        <w:jc w:val="left"/>
        <w:rPr>
          <w:rFonts w:cs="Times New Roman"/>
          <w:b w:val="0"/>
          <w:bCs w:val="0"/>
          <w:sz w:val="24"/>
          <w:szCs w:val="24"/>
        </w:rPr>
      </w:pPr>
    </w:p>
    <w:p w:rsidR="00ED427F" w:rsidRPr="00A72566" w:rsidRDefault="00ED427F">
      <w:pPr>
        <w:pStyle w:val="Title"/>
        <w:rPr>
          <w:rFonts w:cs="Times New Roman"/>
          <w:b w:val="0"/>
          <w:bCs w:val="0"/>
          <w:sz w:val="24"/>
          <w:szCs w:val="24"/>
        </w:rPr>
      </w:pPr>
    </w:p>
    <w:p w:rsidR="00ED427F" w:rsidRPr="00A72566" w:rsidRDefault="00ED427F">
      <w:pPr>
        <w:pStyle w:val="Title"/>
        <w:rPr>
          <w:rFonts w:cs="Times New Roman"/>
          <w:b w:val="0"/>
          <w:bCs w:val="0"/>
          <w:sz w:val="24"/>
          <w:szCs w:val="24"/>
        </w:rPr>
      </w:pPr>
    </w:p>
    <w:p w:rsidR="00ED427F" w:rsidRPr="00A72566" w:rsidRDefault="00ED427F">
      <w:pPr>
        <w:pStyle w:val="Title"/>
        <w:rPr>
          <w:rFonts w:cs="Times New Roman"/>
          <w:b w:val="0"/>
          <w:bCs w:val="0"/>
          <w:sz w:val="24"/>
          <w:szCs w:val="24"/>
        </w:rPr>
      </w:pPr>
    </w:p>
    <w:p w:rsidR="00ED427F" w:rsidRPr="00A72566" w:rsidRDefault="00ED427F">
      <w:pPr>
        <w:pStyle w:val="Title"/>
        <w:rPr>
          <w:rFonts w:cs="Times New Roman"/>
          <w:b w:val="0"/>
          <w:bCs w:val="0"/>
          <w:sz w:val="24"/>
          <w:szCs w:val="24"/>
        </w:rPr>
      </w:pPr>
    </w:p>
    <w:p w:rsidR="00ED427F" w:rsidRPr="00A72566" w:rsidRDefault="00ED427F">
      <w:pPr>
        <w:pStyle w:val="Title"/>
        <w:rPr>
          <w:rFonts w:cs="Times New Roman"/>
          <w:b w:val="0"/>
          <w:bCs w:val="0"/>
          <w:sz w:val="24"/>
          <w:szCs w:val="24"/>
        </w:rPr>
      </w:pPr>
    </w:p>
    <w:p w:rsidR="00ED427F" w:rsidRPr="00A72566" w:rsidRDefault="00ED427F">
      <w:pPr>
        <w:pStyle w:val="Title"/>
        <w:rPr>
          <w:rFonts w:cs="Times New Roman"/>
          <w:b w:val="0"/>
          <w:bCs w:val="0"/>
          <w:sz w:val="24"/>
          <w:szCs w:val="24"/>
        </w:rPr>
      </w:pPr>
    </w:p>
    <w:p w:rsidR="00ED427F" w:rsidRPr="00A72566" w:rsidRDefault="00ED427F">
      <w:pPr>
        <w:pStyle w:val="Title"/>
        <w:rPr>
          <w:rFonts w:cs="Times New Roman"/>
          <w:b w:val="0"/>
          <w:bCs w:val="0"/>
          <w:sz w:val="24"/>
          <w:szCs w:val="24"/>
        </w:rPr>
      </w:pPr>
    </w:p>
    <w:p w:rsidR="00ED427F" w:rsidRPr="00A72566" w:rsidRDefault="00ED427F">
      <w:pPr>
        <w:pStyle w:val="Title"/>
        <w:rPr>
          <w:rFonts w:cs="Times New Roman"/>
          <w:b w:val="0"/>
          <w:bCs w:val="0"/>
          <w:sz w:val="24"/>
          <w:szCs w:val="24"/>
        </w:rPr>
      </w:pPr>
    </w:p>
    <w:p w:rsidR="00ED427F" w:rsidRPr="00A72566" w:rsidRDefault="00ED427F">
      <w:pPr>
        <w:pStyle w:val="Title"/>
        <w:rPr>
          <w:rFonts w:cs="Times New Roman"/>
          <w:b w:val="0"/>
          <w:bCs w:val="0"/>
          <w:sz w:val="24"/>
          <w:szCs w:val="24"/>
        </w:rPr>
      </w:pPr>
    </w:p>
    <w:p w:rsidR="00ED427F" w:rsidRPr="00A72566" w:rsidRDefault="00ED427F">
      <w:pPr>
        <w:pStyle w:val="Title"/>
        <w:rPr>
          <w:rFonts w:cs="Times New Roman"/>
          <w:b w:val="0"/>
          <w:bCs w:val="0"/>
          <w:sz w:val="24"/>
          <w:szCs w:val="24"/>
        </w:rPr>
      </w:pPr>
    </w:p>
    <w:p w:rsidR="00ED427F" w:rsidRPr="00A72566" w:rsidRDefault="00ED427F">
      <w:pPr>
        <w:pStyle w:val="Title"/>
        <w:rPr>
          <w:rFonts w:cs="Times New Roman"/>
          <w:b w:val="0"/>
          <w:bCs w:val="0"/>
          <w:sz w:val="24"/>
          <w:szCs w:val="24"/>
        </w:rPr>
      </w:pPr>
    </w:p>
    <w:p w:rsidR="00ED427F" w:rsidRPr="00A72566" w:rsidRDefault="00ED427F">
      <w:pPr>
        <w:pStyle w:val="Title"/>
        <w:rPr>
          <w:rFonts w:cs="Times New Roman"/>
          <w:b w:val="0"/>
          <w:bCs w:val="0"/>
          <w:sz w:val="24"/>
          <w:szCs w:val="24"/>
        </w:rPr>
      </w:pPr>
    </w:p>
    <w:p w:rsidR="00ED427F" w:rsidRPr="00A72566" w:rsidRDefault="00ED427F">
      <w:pPr>
        <w:pStyle w:val="Title"/>
        <w:rPr>
          <w:rFonts w:cs="Times New Roman"/>
          <w:b w:val="0"/>
          <w:bCs w:val="0"/>
          <w:sz w:val="24"/>
          <w:szCs w:val="24"/>
        </w:rPr>
      </w:pPr>
    </w:p>
    <w:p w:rsidR="00ED427F" w:rsidRPr="00A72566" w:rsidRDefault="00ED427F">
      <w:pPr>
        <w:pStyle w:val="Title"/>
        <w:rPr>
          <w:rFonts w:cs="Times New Roman"/>
          <w:b w:val="0"/>
          <w:bCs w:val="0"/>
          <w:sz w:val="24"/>
          <w:szCs w:val="24"/>
        </w:rPr>
      </w:pPr>
    </w:p>
    <w:p w:rsidR="00ED427F" w:rsidRPr="00A72566" w:rsidRDefault="00ED427F">
      <w:pPr>
        <w:pStyle w:val="Title"/>
        <w:rPr>
          <w:rFonts w:cs="Times New Roman"/>
          <w:b w:val="0"/>
          <w:bCs w:val="0"/>
          <w:sz w:val="24"/>
          <w:szCs w:val="24"/>
        </w:rPr>
      </w:pPr>
    </w:p>
    <w:p w:rsidR="00ED427F" w:rsidRPr="00A72566" w:rsidRDefault="00ED427F">
      <w:pPr>
        <w:pStyle w:val="Title"/>
        <w:rPr>
          <w:rFonts w:cs="Times New Roman"/>
          <w:b w:val="0"/>
          <w:bCs w:val="0"/>
          <w:sz w:val="24"/>
          <w:szCs w:val="24"/>
        </w:rPr>
      </w:pPr>
    </w:p>
    <w:p w:rsidR="00ED427F" w:rsidRPr="00A72566" w:rsidRDefault="00ED427F">
      <w:pPr>
        <w:pStyle w:val="Title"/>
        <w:rPr>
          <w:rFonts w:cs="Times New Roman"/>
          <w:b w:val="0"/>
          <w:bCs w:val="0"/>
          <w:sz w:val="24"/>
          <w:szCs w:val="24"/>
        </w:rPr>
      </w:pPr>
    </w:p>
    <w:p w:rsidR="00ED427F" w:rsidRPr="00A72566" w:rsidRDefault="00ED427F">
      <w:pPr>
        <w:pStyle w:val="Title"/>
        <w:rPr>
          <w:rFonts w:cs="Times New Roman"/>
          <w:b w:val="0"/>
          <w:bCs w:val="0"/>
          <w:sz w:val="24"/>
          <w:szCs w:val="24"/>
        </w:rPr>
      </w:pPr>
    </w:p>
    <w:p w:rsidR="00ED427F" w:rsidRPr="00A72566" w:rsidRDefault="00ED427F">
      <w:pPr>
        <w:pStyle w:val="Title"/>
        <w:rPr>
          <w:rFonts w:cs="Times New Roman"/>
          <w:b w:val="0"/>
          <w:bCs w:val="0"/>
          <w:sz w:val="24"/>
          <w:szCs w:val="24"/>
        </w:rPr>
      </w:pPr>
    </w:p>
    <w:p w:rsidR="00ED427F" w:rsidRPr="00A72566" w:rsidRDefault="00ED427F">
      <w:pPr>
        <w:pStyle w:val="Title"/>
        <w:rPr>
          <w:rFonts w:cs="Times New Roman"/>
          <w:b w:val="0"/>
          <w:bCs w:val="0"/>
          <w:sz w:val="24"/>
          <w:szCs w:val="24"/>
        </w:rPr>
      </w:pPr>
    </w:p>
    <w:p w:rsidR="00ED427F" w:rsidRPr="00A72566" w:rsidRDefault="00ED427F">
      <w:pPr>
        <w:pStyle w:val="Title"/>
        <w:rPr>
          <w:rFonts w:cs="Times New Roman"/>
          <w:b w:val="0"/>
          <w:bCs w:val="0"/>
          <w:sz w:val="24"/>
          <w:szCs w:val="24"/>
        </w:rPr>
      </w:pPr>
    </w:p>
    <w:p w:rsidR="00ED427F" w:rsidRPr="00A72566" w:rsidRDefault="00ED427F">
      <w:pPr>
        <w:pStyle w:val="Title"/>
        <w:rPr>
          <w:rFonts w:cs="Times New Roman"/>
          <w:b w:val="0"/>
          <w:bCs w:val="0"/>
          <w:sz w:val="24"/>
          <w:szCs w:val="24"/>
        </w:rPr>
      </w:pPr>
    </w:p>
    <w:p w:rsidR="00ED427F" w:rsidRPr="00A72566" w:rsidRDefault="00ED427F">
      <w:pPr>
        <w:pStyle w:val="Title"/>
        <w:rPr>
          <w:rFonts w:cs="Times New Roman"/>
          <w:b w:val="0"/>
          <w:bCs w:val="0"/>
          <w:sz w:val="24"/>
          <w:szCs w:val="24"/>
        </w:rPr>
      </w:pPr>
    </w:p>
    <w:p w:rsidR="00ED427F" w:rsidRPr="00A72566" w:rsidRDefault="00ED427F">
      <w:pPr>
        <w:pStyle w:val="Title"/>
        <w:rPr>
          <w:rFonts w:cs="Times New Roman"/>
          <w:b w:val="0"/>
          <w:bCs w:val="0"/>
          <w:sz w:val="24"/>
          <w:szCs w:val="24"/>
        </w:rPr>
      </w:pPr>
    </w:p>
    <w:p w:rsidR="00ED427F" w:rsidRPr="00A72566" w:rsidRDefault="00ED427F">
      <w:pPr>
        <w:pStyle w:val="Title"/>
        <w:rPr>
          <w:rFonts w:cs="Times New Roman"/>
          <w:b w:val="0"/>
          <w:bCs w:val="0"/>
          <w:sz w:val="24"/>
          <w:szCs w:val="24"/>
        </w:rPr>
      </w:pPr>
    </w:p>
    <w:p w:rsidR="00ED427F" w:rsidRPr="00A72566" w:rsidRDefault="00ED427F">
      <w:pPr>
        <w:pStyle w:val="Title"/>
        <w:rPr>
          <w:rFonts w:cs="Times New Roman"/>
          <w:b w:val="0"/>
          <w:bCs w:val="0"/>
          <w:sz w:val="24"/>
          <w:szCs w:val="24"/>
        </w:rPr>
      </w:pPr>
    </w:p>
    <w:p w:rsidR="00413551" w:rsidRPr="00A72566" w:rsidRDefault="00413551">
      <w:pPr>
        <w:pStyle w:val="Title"/>
        <w:rPr>
          <w:rFonts w:cs="Times New Roman"/>
          <w:b w:val="0"/>
          <w:bCs w:val="0"/>
          <w:sz w:val="24"/>
          <w:szCs w:val="24"/>
        </w:rPr>
      </w:pPr>
    </w:p>
    <w:p w:rsidR="00413551" w:rsidRPr="00A72566" w:rsidRDefault="00413551">
      <w:pPr>
        <w:pStyle w:val="Title"/>
        <w:rPr>
          <w:rFonts w:cs="Times New Roman"/>
          <w:b w:val="0"/>
          <w:bCs w:val="0"/>
          <w:sz w:val="24"/>
          <w:szCs w:val="24"/>
        </w:rPr>
      </w:pPr>
    </w:p>
    <w:p w:rsidR="00413551" w:rsidRPr="00A72566" w:rsidRDefault="00413551">
      <w:pPr>
        <w:pStyle w:val="Title"/>
        <w:rPr>
          <w:rFonts w:cs="Times New Roman"/>
          <w:b w:val="0"/>
          <w:bCs w:val="0"/>
          <w:sz w:val="24"/>
          <w:szCs w:val="24"/>
        </w:rPr>
      </w:pPr>
    </w:p>
    <w:p w:rsidR="00413551" w:rsidRPr="00A72566" w:rsidRDefault="00413551">
      <w:pPr>
        <w:pStyle w:val="Title"/>
        <w:rPr>
          <w:rFonts w:cs="Times New Roman"/>
          <w:b w:val="0"/>
          <w:bCs w:val="0"/>
          <w:sz w:val="24"/>
          <w:szCs w:val="24"/>
        </w:rPr>
      </w:pPr>
    </w:p>
    <w:p w:rsidR="00413551" w:rsidRPr="00A72566" w:rsidRDefault="00413551">
      <w:pPr>
        <w:pStyle w:val="Title"/>
        <w:rPr>
          <w:rFonts w:cs="Times New Roman"/>
          <w:b w:val="0"/>
          <w:bCs w:val="0"/>
          <w:sz w:val="24"/>
          <w:szCs w:val="24"/>
        </w:rPr>
      </w:pPr>
    </w:p>
    <w:p w:rsidR="00413551" w:rsidRPr="00A72566" w:rsidRDefault="00413551">
      <w:pPr>
        <w:pStyle w:val="Title"/>
        <w:rPr>
          <w:rFonts w:cs="Times New Roman"/>
          <w:b w:val="0"/>
          <w:bCs w:val="0"/>
          <w:sz w:val="24"/>
          <w:szCs w:val="24"/>
        </w:rPr>
      </w:pPr>
    </w:p>
    <w:p w:rsidR="00413551" w:rsidRPr="00A72566" w:rsidRDefault="00413551">
      <w:pPr>
        <w:pStyle w:val="Title"/>
        <w:rPr>
          <w:rFonts w:cs="Times New Roman"/>
          <w:b w:val="0"/>
          <w:bCs w:val="0"/>
          <w:sz w:val="24"/>
          <w:szCs w:val="24"/>
        </w:rPr>
      </w:pPr>
    </w:p>
    <w:p w:rsidR="00413551" w:rsidRPr="00A72566" w:rsidRDefault="00413551">
      <w:pPr>
        <w:pStyle w:val="Title"/>
        <w:rPr>
          <w:rFonts w:cs="Times New Roman"/>
          <w:b w:val="0"/>
          <w:bCs w:val="0"/>
          <w:sz w:val="24"/>
          <w:szCs w:val="24"/>
        </w:rPr>
      </w:pPr>
    </w:p>
    <w:p w:rsidR="00413551" w:rsidRPr="00A72566" w:rsidRDefault="00413551">
      <w:pPr>
        <w:pStyle w:val="Title"/>
        <w:rPr>
          <w:rFonts w:cs="Times New Roman"/>
          <w:b w:val="0"/>
          <w:bCs w:val="0"/>
          <w:sz w:val="24"/>
          <w:szCs w:val="24"/>
        </w:rPr>
      </w:pPr>
    </w:p>
    <w:p w:rsidR="00F90FA8" w:rsidRPr="00A72566" w:rsidRDefault="00F90FA8">
      <w:pPr>
        <w:pStyle w:val="Title"/>
        <w:rPr>
          <w:rFonts w:cs="Times New Roman"/>
          <w:b w:val="0"/>
          <w:bCs w:val="0"/>
          <w:sz w:val="24"/>
          <w:szCs w:val="24"/>
        </w:rPr>
      </w:pPr>
    </w:p>
    <w:p w:rsidR="009E7D1F" w:rsidRPr="00A72566" w:rsidRDefault="009E7D1F" w:rsidP="003C6E14">
      <w:pPr>
        <w:pStyle w:val="Title"/>
        <w:rPr>
          <w:rFonts w:cs="Times New Roman"/>
          <w:b w:val="0"/>
          <w:bCs w:val="0"/>
          <w:sz w:val="24"/>
          <w:szCs w:val="24"/>
        </w:rPr>
      </w:pPr>
    </w:p>
    <w:p w:rsidR="00CF09E6" w:rsidRPr="00A72566" w:rsidRDefault="00CF09E6" w:rsidP="003C6E14">
      <w:pPr>
        <w:pStyle w:val="Title"/>
        <w:rPr>
          <w:rFonts w:cs="Times New Roman"/>
          <w:b w:val="0"/>
          <w:bCs w:val="0"/>
          <w:sz w:val="24"/>
          <w:szCs w:val="24"/>
        </w:rPr>
      </w:pPr>
      <w:r w:rsidRPr="00A72566">
        <w:rPr>
          <w:rFonts w:cs="Times New Roman"/>
          <w:b w:val="0"/>
          <w:bCs w:val="0"/>
          <w:sz w:val="24"/>
          <w:szCs w:val="24"/>
        </w:rPr>
        <w:lastRenderedPageBreak/>
        <w:t xml:space="preserve">Chapter </w:t>
      </w:r>
      <w:r w:rsidR="003C6E14" w:rsidRPr="00A72566">
        <w:rPr>
          <w:rFonts w:cs="Times New Roman"/>
          <w:b w:val="0"/>
          <w:bCs w:val="0"/>
          <w:sz w:val="24"/>
          <w:szCs w:val="24"/>
        </w:rPr>
        <w:t>Two</w:t>
      </w:r>
    </w:p>
    <w:p w:rsidR="00CF09E6" w:rsidRPr="00A72566" w:rsidRDefault="00CF09E6">
      <w:pPr>
        <w:pStyle w:val="Title"/>
        <w:rPr>
          <w:rFonts w:cs="Times New Roman"/>
          <w:sz w:val="28"/>
          <w:szCs w:val="28"/>
        </w:rPr>
      </w:pPr>
    </w:p>
    <w:p w:rsidR="00375DC2" w:rsidRPr="00A72566" w:rsidRDefault="00375DC2" w:rsidP="00375DC2">
      <w:pPr>
        <w:pStyle w:val="Heading6"/>
        <w:ind w:left="0"/>
        <w:rPr>
          <w:sz w:val="28"/>
          <w:szCs w:val="28"/>
        </w:rPr>
      </w:pPr>
      <w:r w:rsidRPr="00A72566">
        <w:rPr>
          <w:sz w:val="28"/>
          <w:szCs w:val="28"/>
        </w:rPr>
        <w:t>Main Findings</w:t>
      </w:r>
    </w:p>
    <w:p w:rsidR="00375DC2" w:rsidRPr="00A72566" w:rsidRDefault="00375DC2" w:rsidP="00375DC2">
      <w:pPr>
        <w:ind w:left="1280"/>
        <w:rPr>
          <w:b/>
          <w:bCs/>
          <w:sz w:val="24"/>
          <w:szCs w:val="24"/>
        </w:rPr>
      </w:pPr>
    </w:p>
    <w:p w:rsidR="003C6E14" w:rsidRPr="00A72566" w:rsidRDefault="003C6E14" w:rsidP="00487AC9">
      <w:pPr>
        <w:pStyle w:val="BodyText"/>
      </w:pPr>
      <w:r w:rsidRPr="00A72566">
        <w:t xml:space="preserve">The Foreign Investment Survey of resident enterprises in Palestine </w:t>
      </w:r>
      <w:r w:rsidR="009E7D1F" w:rsidRPr="00A72566">
        <w:t xml:space="preserve">for </w:t>
      </w:r>
      <w:r w:rsidR="00BC01CB">
        <w:rPr>
          <w:color w:val="000000"/>
        </w:rPr>
        <w:t>2018</w:t>
      </w:r>
      <w:r w:rsidRPr="00A72566">
        <w:t xml:space="preserve"> has revealed important res</w:t>
      </w:r>
      <w:r w:rsidR="00CB5E87" w:rsidRPr="00A72566">
        <w:t>ults for researchers, academics</w:t>
      </w:r>
      <w:r w:rsidRPr="00A72566">
        <w:t xml:space="preserve"> and decision makers. The results indicated that external investments by resident enterprises in Palestine were greater than investments by  non-residents in resident enterprises in Palestine at the end of </w:t>
      </w:r>
      <w:r w:rsidR="00BC01CB">
        <w:t>2018</w:t>
      </w:r>
      <w:r w:rsidRPr="00A72566">
        <w:t xml:space="preserve">. </w:t>
      </w:r>
    </w:p>
    <w:p w:rsidR="003C6E14" w:rsidRPr="00A72566" w:rsidRDefault="003C6E14" w:rsidP="003C6E14">
      <w:pPr>
        <w:pStyle w:val="BodyText"/>
      </w:pPr>
    </w:p>
    <w:p w:rsidR="003C6E14" w:rsidRPr="00A72566" w:rsidRDefault="003C6E14" w:rsidP="003C6E14">
      <w:pPr>
        <w:pStyle w:val="BodyText"/>
      </w:pPr>
      <w:r w:rsidRPr="00A72566">
        <w:t>The main findings of the survey are as follows:</w:t>
      </w:r>
    </w:p>
    <w:p w:rsidR="003C6E14" w:rsidRPr="00A72566" w:rsidRDefault="003C6E14" w:rsidP="00644F0F">
      <w:pPr>
        <w:pStyle w:val="BodyText"/>
        <w:numPr>
          <w:ilvl w:val="0"/>
          <w:numId w:val="41"/>
        </w:numPr>
        <w:ind w:left="426" w:hanging="284"/>
      </w:pPr>
      <w:r w:rsidRPr="00A72566">
        <w:t xml:space="preserve">The total stock of resident enterprises in Palestine investments abroad (assets) amounted to USD </w:t>
      </w:r>
      <w:r w:rsidR="00657578">
        <w:t>6</w:t>
      </w:r>
      <w:r w:rsidRPr="00A72566">
        <w:t>,</w:t>
      </w:r>
      <w:r w:rsidR="00BC01CB">
        <w:t>392</w:t>
      </w:r>
      <w:r w:rsidRPr="00A72566">
        <w:t xml:space="preserve"> million at the end of </w:t>
      </w:r>
      <w:r w:rsidR="00BC01CB">
        <w:t>2018</w:t>
      </w:r>
      <w:r w:rsidR="00AB3484">
        <w:t xml:space="preserve">, of which </w:t>
      </w:r>
      <w:r w:rsidR="00944193">
        <w:t>60.3</w:t>
      </w:r>
      <w:r w:rsidR="00AB3484">
        <w:t>% is foreign</w:t>
      </w:r>
      <w:r w:rsidR="00502182">
        <w:t xml:space="preserve"> exchange in these enterprises and their deposits in bank</w:t>
      </w:r>
      <w:r w:rsidR="002C360B">
        <w:t>s</w:t>
      </w:r>
      <w:r w:rsidR="00081BBA">
        <w:t xml:space="preserve"> abroad</w:t>
      </w:r>
      <w:r w:rsidR="00AB3484">
        <w:t xml:space="preserve"> </w:t>
      </w:r>
      <w:r w:rsidR="00502182">
        <w:t>(see table1)</w:t>
      </w:r>
      <w:r w:rsidR="00081BBA">
        <w:t>.</w:t>
      </w:r>
    </w:p>
    <w:p w:rsidR="003C6E14" w:rsidRPr="00A72566" w:rsidRDefault="003C6E14" w:rsidP="00644F0F">
      <w:pPr>
        <w:pStyle w:val="BodyText"/>
        <w:numPr>
          <w:ilvl w:val="0"/>
          <w:numId w:val="41"/>
        </w:numPr>
        <w:ind w:left="426" w:hanging="284"/>
      </w:pPr>
      <w:r w:rsidRPr="00A72566">
        <w:t xml:space="preserve">The total foreign investment stock in resident enterprises in Palestine (liabilities) amounted to USD </w:t>
      </w:r>
      <w:r w:rsidR="00BC01CB">
        <w:t>2</w:t>
      </w:r>
      <w:r w:rsidRPr="00A72566">
        <w:t>,</w:t>
      </w:r>
      <w:r w:rsidR="00BC01CB">
        <w:t>939</w:t>
      </w:r>
      <w:r w:rsidRPr="00A72566">
        <w:t xml:space="preserve"> million at the end of </w:t>
      </w:r>
      <w:r w:rsidR="00BC01CB">
        <w:t>2018</w:t>
      </w:r>
      <w:r w:rsidR="00502182">
        <w:t xml:space="preserve">, of which </w:t>
      </w:r>
      <w:r w:rsidR="00BC01CB">
        <w:rPr>
          <w:rFonts w:hint="cs"/>
          <w:rtl/>
        </w:rPr>
        <w:t>59.8</w:t>
      </w:r>
      <w:r w:rsidR="00502182">
        <w:t>% is foreign direct investment (FDI)</w:t>
      </w:r>
      <w:r w:rsidR="0003242E">
        <w:t xml:space="preserve"> (see table1)</w:t>
      </w:r>
      <w:r w:rsidR="00081BBA">
        <w:t>.</w:t>
      </w:r>
    </w:p>
    <w:p w:rsidR="003C6E14" w:rsidRPr="00A72566" w:rsidRDefault="003C6E14" w:rsidP="003C6E14">
      <w:pPr>
        <w:pStyle w:val="BodyText"/>
        <w:rPr>
          <w:b/>
          <w:bCs/>
        </w:rPr>
      </w:pPr>
      <w:bookmarkStart w:id="0" w:name="_GoBack"/>
      <w:bookmarkEnd w:id="0"/>
    </w:p>
    <w:p w:rsidR="003C6E14" w:rsidRPr="00A72566" w:rsidRDefault="003C6E14" w:rsidP="00BC01CB">
      <w:pPr>
        <w:pStyle w:val="BodyText"/>
      </w:pPr>
      <w:r w:rsidRPr="00A72566">
        <w:t xml:space="preserve">With regard </w:t>
      </w:r>
      <w:r w:rsidR="00401889">
        <w:t>to the distribution of assets;</w:t>
      </w:r>
      <w:r w:rsidR="00F25B35">
        <w:t xml:space="preserve"> </w:t>
      </w:r>
      <w:r w:rsidR="00AB29E7" w:rsidRPr="00A72566">
        <w:t>other investments abroad amounted to USD 4,</w:t>
      </w:r>
      <w:r w:rsidR="00BC01CB">
        <w:rPr>
          <w:rFonts w:hint="cs"/>
          <w:rtl/>
        </w:rPr>
        <w:t>114</w:t>
      </w:r>
      <w:r w:rsidR="00AB29E7" w:rsidRPr="00A72566">
        <w:t xml:space="preserve"> million</w:t>
      </w:r>
      <w:r w:rsidR="000B3CE9">
        <w:t>,</w:t>
      </w:r>
      <w:r w:rsidR="000B3CE9" w:rsidRPr="000B3CE9">
        <w:t xml:space="preserve"> </w:t>
      </w:r>
      <w:r w:rsidR="000B3CE9" w:rsidRPr="00A72566">
        <w:t xml:space="preserve">at </w:t>
      </w:r>
      <w:r w:rsidR="00BC01CB">
        <w:rPr>
          <w:rFonts w:hint="cs"/>
          <w:rtl/>
        </w:rPr>
        <w:t>64.4</w:t>
      </w:r>
      <w:r w:rsidR="000B3CE9" w:rsidRPr="00A72566">
        <w:t>% of total assets</w:t>
      </w:r>
      <w:r w:rsidR="000B3CE9">
        <w:t>;</w:t>
      </w:r>
      <w:r w:rsidR="00854ADF" w:rsidRPr="00854ADF">
        <w:t xml:space="preserve"> </w:t>
      </w:r>
      <w:r w:rsidR="00854ADF" w:rsidRPr="00A72566">
        <w:t>portfolio investments abroad amounted to USD 1,</w:t>
      </w:r>
      <w:r w:rsidR="00BC01CB">
        <w:t>425</w:t>
      </w:r>
      <w:r w:rsidR="00854ADF" w:rsidRPr="00A72566">
        <w:t xml:space="preserve"> million, at </w:t>
      </w:r>
      <w:r w:rsidR="00BC01CB">
        <w:t>22</w:t>
      </w:r>
      <w:r w:rsidR="00854ADF">
        <w:t>.</w:t>
      </w:r>
      <w:r w:rsidR="00BC01CB">
        <w:t>3</w:t>
      </w:r>
      <w:r w:rsidR="00854ADF" w:rsidRPr="00A72566">
        <w:t>% of total assets;</w:t>
      </w:r>
      <w:r w:rsidR="00854ADF" w:rsidRPr="00854ADF">
        <w:t xml:space="preserve"> </w:t>
      </w:r>
      <w:r w:rsidR="00854ADF" w:rsidRPr="00A72566">
        <w:t xml:space="preserve">stock of reserve assets for the PMA amounted to USD </w:t>
      </w:r>
      <w:r w:rsidR="00BC01CB">
        <w:t>538</w:t>
      </w:r>
      <w:r w:rsidR="00854ADF" w:rsidRPr="00A72566">
        <w:t xml:space="preserve"> million, at </w:t>
      </w:r>
      <w:r w:rsidR="00BC01CB">
        <w:t>8.4</w:t>
      </w:r>
      <w:r w:rsidR="00854ADF" w:rsidRPr="00A72566">
        <w:t>% of total assets</w:t>
      </w:r>
      <w:r w:rsidR="000B3CE9">
        <w:t>; and</w:t>
      </w:r>
      <w:r w:rsidR="00854ADF">
        <w:rPr>
          <w:rFonts w:hint="cs"/>
          <w:rtl/>
        </w:rPr>
        <w:t xml:space="preserve"> </w:t>
      </w:r>
      <w:r w:rsidR="000B3CE9">
        <w:t xml:space="preserve"> the </w:t>
      </w:r>
      <w:r w:rsidR="00F25B35">
        <w:t>f</w:t>
      </w:r>
      <w:r w:rsidRPr="00A72566">
        <w:t xml:space="preserve">oreign direct investment (FDI) abroad amounted to USD </w:t>
      </w:r>
      <w:r w:rsidR="00BC01CB">
        <w:t>315</w:t>
      </w:r>
      <w:r w:rsidRPr="00A72566">
        <w:t xml:space="preserve"> million, at </w:t>
      </w:r>
      <w:r w:rsidR="00BC01CB">
        <w:t>4.9</w:t>
      </w:r>
      <w:r w:rsidRPr="00A72566">
        <w:t>% of total assets</w:t>
      </w:r>
      <w:r w:rsidR="00B74A07" w:rsidRPr="00B74A07">
        <w:t xml:space="preserve"> </w:t>
      </w:r>
      <w:r w:rsidR="00B74A07" w:rsidRPr="00A72566">
        <w:t xml:space="preserve">at the end of </w:t>
      </w:r>
      <w:r w:rsidR="00BC01CB">
        <w:t>2018</w:t>
      </w:r>
      <w:r w:rsidR="000B3CE9">
        <w:t>.</w:t>
      </w:r>
      <w:r w:rsidRPr="00A72566">
        <w:t xml:space="preserve"> </w:t>
      </w:r>
      <w:r w:rsidR="0003242E">
        <w:t>(see table1)</w:t>
      </w:r>
      <w:r w:rsidR="00081BBA">
        <w:t>.</w:t>
      </w:r>
    </w:p>
    <w:p w:rsidR="003C6E14" w:rsidRPr="00A72566" w:rsidRDefault="003C6E14" w:rsidP="003C6E14">
      <w:pPr>
        <w:pStyle w:val="BodyText"/>
      </w:pPr>
    </w:p>
    <w:p w:rsidR="00A72566" w:rsidRDefault="003C6E14" w:rsidP="0076615D">
      <w:pPr>
        <w:pStyle w:val="BodyText"/>
        <w:bidi/>
        <w:jc w:val="center"/>
        <w:rPr>
          <w:rFonts w:ascii="Arial" w:hAnsi="Arial" w:cs="Arial"/>
          <w:b/>
          <w:bCs/>
          <w:sz w:val="22"/>
          <w:szCs w:val="22"/>
          <w:rtl/>
        </w:rPr>
      </w:pPr>
      <w:r w:rsidRPr="00A72566">
        <w:rPr>
          <w:rFonts w:ascii="Arial" w:hAnsi="Arial" w:cs="Arial"/>
          <w:b/>
          <w:bCs/>
          <w:sz w:val="22"/>
          <w:szCs w:val="22"/>
        </w:rPr>
        <w:t xml:space="preserve">Percentage </w:t>
      </w:r>
      <w:r w:rsidR="0076615D">
        <w:rPr>
          <w:rFonts w:ascii="Arial" w:hAnsi="Arial" w:cs="Arial"/>
          <w:b/>
          <w:bCs/>
          <w:sz w:val="22"/>
          <w:szCs w:val="22"/>
        </w:rPr>
        <w:t>Distribution of External Assets S</w:t>
      </w:r>
      <w:r w:rsidR="0076615D" w:rsidRPr="00A72566">
        <w:rPr>
          <w:rFonts w:ascii="Arial" w:hAnsi="Arial" w:cs="Arial"/>
          <w:b/>
          <w:bCs/>
          <w:sz w:val="22"/>
          <w:szCs w:val="22"/>
        </w:rPr>
        <w:t>tocks</w:t>
      </w:r>
      <w:r w:rsidRPr="00A72566">
        <w:rPr>
          <w:rFonts w:ascii="Arial" w:hAnsi="Arial" w:cs="Arial"/>
          <w:b/>
          <w:bCs/>
          <w:sz w:val="22"/>
          <w:szCs w:val="22"/>
        </w:rPr>
        <w:t xml:space="preserve"> of Resident Enterprises in</w:t>
      </w:r>
    </w:p>
    <w:p w:rsidR="003B4AF0" w:rsidRDefault="003C6E14" w:rsidP="003B4AF0">
      <w:pPr>
        <w:pStyle w:val="BodyText"/>
        <w:bidi/>
        <w:jc w:val="center"/>
        <w:rPr>
          <w:rFonts w:ascii="Arial" w:hAnsi="Arial" w:cs="Arial"/>
          <w:b/>
          <w:bCs/>
          <w:sz w:val="22"/>
          <w:szCs w:val="22"/>
          <w:rtl/>
        </w:rPr>
      </w:pPr>
      <w:r w:rsidRPr="00A72566">
        <w:rPr>
          <w:rFonts w:ascii="Arial" w:hAnsi="Arial" w:cs="Arial"/>
          <w:b/>
          <w:bCs/>
          <w:sz w:val="22"/>
          <w:szCs w:val="22"/>
        </w:rPr>
        <w:t xml:space="preserve"> Palestine by Type of Investment, at </w:t>
      </w:r>
      <w:r w:rsidR="00CB5E87" w:rsidRPr="00A72566">
        <w:rPr>
          <w:rFonts w:ascii="Arial" w:hAnsi="Arial" w:cs="Arial"/>
          <w:b/>
          <w:bCs/>
          <w:sz w:val="22"/>
          <w:szCs w:val="22"/>
        </w:rPr>
        <w:t xml:space="preserve">the </w:t>
      </w:r>
      <w:r w:rsidRPr="00A72566">
        <w:rPr>
          <w:rFonts w:ascii="Arial" w:hAnsi="Arial" w:cs="Arial"/>
          <w:b/>
          <w:bCs/>
          <w:sz w:val="22"/>
          <w:szCs w:val="22"/>
        </w:rPr>
        <w:t>end</w:t>
      </w:r>
      <w:r w:rsidR="007117F6" w:rsidRPr="00A72566">
        <w:rPr>
          <w:rFonts w:ascii="Arial" w:hAnsi="Arial" w:cs="Arial"/>
          <w:b/>
          <w:bCs/>
          <w:sz w:val="22"/>
          <w:szCs w:val="22"/>
        </w:rPr>
        <w:t xml:space="preserve"> of</w:t>
      </w:r>
      <w:r w:rsidRPr="00A72566">
        <w:rPr>
          <w:rFonts w:ascii="Arial" w:hAnsi="Arial" w:cs="Arial"/>
          <w:b/>
          <w:bCs/>
          <w:sz w:val="22"/>
          <w:szCs w:val="22"/>
        </w:rPr>
        <w:t xml:space="preserve"> </w:t>
      </w:r>
      <w:r w:rsidR="00BC01CB">
        <w:rPr>
          <w:rFonts w:ascii="Arial" w:hAnsi="Arial" w:cs="Arial"/>
          <w:b/>
          <w:bCs/>
          <w:sz w:val="22"/>
          <w:szCs w:val="22"/>
        </w:rPr>
        <w:t>2018</w:t>
      </w:r>
    </w:p>
    <w:tbl>
      <w:tblPr>
        <w:tblStyle w:val="TableGrid"/>
        <w:tblW w:w="0" w:type="auto"/>
        <w:jc w:val="center"/>
        <w:tblInd w:w="1226" w:type="dxa"/>
        <w:tblLook w:val="04A0" w:firstRow="1" w:lastRow="0" w:firstColumn="1" w:lastColumn="0" w:noHBand="0" w:noVBand="1"/>
      </w:tblPr>
      <w:tblGrid>
        <w:gridCol w:w="8063"/>
      </w:tblGrid>
      <w:tr w:rsidR="00A27CD1" w:rsidTr="00A27CD1">
        <w:trPr>
          <w:jc w:val="center"/>
        </w:trPr>
        <w:tc>
          <w:tcPr>
            <w:tcW w:w="8063" w:type="dxa"/>
            <w:vAlign w:val="center"/>
          </w:tcPr>
          <w:p w:rsidR="00A27CD1" w:rsidRDefault="00A27CD1" w:rsidP="00A27CD1">
            <w:pPr>
              <w:pStyle w:val="BodyText"/>
              <w:jc w:val="center"/>
            </w:pPr>
            <w:r w:rsidRPr="00A27CD1">
              <w:rPr>
                <w:noProof/>
              </w:rPr>
              <w:drawing>
                <wp:inline distT="0" distB="0" distL="0" distR="0">
                  <wp:extent cx="4934465" cy="2430162"/>
                  <wp:effectExtent l="0" t="0" r="0" b="0"/>
                  <wp:docPr id="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rsidR="003C6E14" w:rsidRPr="00A27CD1" w:rsidRDefault="003C6E14" w:rsidP="003C6E14">
      <w:pPr>
        <w:pStyle w:val="BodyText"/>
        <w:jc w:val="center"/>
        <w:rPr>
          <w:sz w:val="32"/>
          <w:szCs w:val="32"/>
        </w:rPr>
      </w:pPr>
    </w:p>
    <w:p w:rsidR="003C6E14" w:rsidRPr="00A72566" w:rsidRDefault="003C6E14" w:rsidP="000236F4">
      <w:pPr>
        <w:pStyle w:val="BodyText"/>
      </w:pPr>
      <w:r w:rsidRPr="00A72566">
        <w:t xml:space="preserve">With regard to the distribution of liabilities, foreign direct investment (FDI) amounted to USD </w:t>
      </w:r>
      <w:r w:rsidR="007F2EB5" w:rsidRPr="00A72566">
        <w:t>1,</w:t>
      </w:r>
      <w:r w:rsidR="000236F4">
        <w:t>758</w:t>
      </w:r>
      <w:r w:rsidRPr="00A72566">
        <w:t xml:space="preserve"> million, at </w:t>
      </w:r>
      <w:r w:rsidR="000236F4">
        <w:t>59.8</w:t>
      </w:r>
      <w:r w:rsidRPr="00A72566">
        <w:t xml:space="preserve">% of total liabilities; portfolio investments were USD </w:t>
      </w:r>
      <w:r w:rsidR="000236F4">
        <w:t>728</w:t>
      </w:r>
      <w:r w:rsidRPr="00A72566">
        <w:t xml:space="preserve"> million, at </w:t>
      </w:r>
      <w:r w:rsidR="000236F4">
        <w:t>24.8</w:t>
      </w:r>
      <w:r w:rsidRPr="00A72566">
        <w:t xml:space="preserve">% of total liabilities; while other investments totaled USD </w:t>
      </w:r>
      <w:r w:rsidR="000236F4">
        <w:t>453</w:t>
      </w:r>
      <w:r w:rsidRPr="00A72566">
        <w:t xml:space="preserve"> million, at </w:t>
      </w:r>
      <w:r w:rsidR="000236F4">
        <w:t>15.4</w:t>
      </w:r>
      <w:r w:rsidR="007061D3" w:rsidRPr="00A72566">
        <w:t>% of total liabilities at</w:t>
      </w:r>
      <w:r w:rsidRPr="00A72566">
        <w:t xml:space="preserve"> the end of </w:t>
      </w:r>
      <w:r w:rsidR="00BC01CB">
        <w:t>2018</w:t>
      </w:r>
      <w:r w:rsidR="002C3130">
        <w:t xml:space="preserve"> </w:t>
      </w:r>
      <w:r w:rsidR="00946C07">
        <w:t>(see table1)</w:t>
      </w:r>
      <w:r w:rsidR="00081BBA">
        <w:t>.</w:t>
      </w:r>
      <w:r w:rsidRPr="00A72566">
        <w:t xml:space="preserve">  </w:t>
      </w:r>
    </w:p>
    <w:p w:rsidR="003C6E14" w:rsidRPr="00A72566" w:rsidRDefault="003C6E14" w:rsidP="003C6E14">
      <w:pPr>
        <w:pStyle w:val="BodyText"/>
        <w:jc w:val="center"/>
        <w:rPr>
          <w:b/>
          <w:bCs/>
        </w:rPr>
      </w:pPr>
    </w:p>
    <w:p w:rsidR="003C6E14" w:rsidRPr="00A72566" w:rsidRDefault="003C6E14" w:rsidP="003C6E14">
      <w:pPr>
        <w:pStyle w:val="BodyText"/>
        <w:jc w:val="center"/>
        <w:rPr>
          <w:b/>
          <w:bCs/>
        </w:rPr>
      </w:pPr>
    </w:p>
    <w:p w:rsidR="003C6E14" w:rsidRPr="00A72566" w:rsidRDefault="003C6E14" w:rsidP="003C6E14">
      <w:pPr>
        <w:pStyle w:val="BodyText"/>
        <w:jc w:val="center"/>
        <w:rPr>
          <w:b/>
          <w:bCs/>
        </w:rPr>
      </w:pPr>
    </w:p>
    <w:p w:rsidR="003C6E14" w:rsidRPr="00A72566" w:rsidRDefault="003C6E14" w:rsidP="003C6E14">
      <w:pPr>
        <w:pStyle w:val="BodyText"/>
        <w:jc w:val="center"/>
        <w:rPr>
          <w:b/>
          <w:bCs/>
        </w:rPr>
      </w:pPr>
    </w:p>
    <w:p w:rsidR="00E66F4C" w:rsidRPr="00A72566" w:rsidRDefault="00E66F4C" w:rsidP="003C6E14">
      <w:pPr>
        <w:pStyle w:val="BodyText"/>
        <w:jc w:val="center"/>
        <w:rPr>
          <w:b/>
          <w:bCs/>
        </w:rPr>
      </w:pPr>
    </w:p>
    <w:p w:rsidR="003B4AF0" w:rsidRDefault="003C6E14" w:rsidP="003B4AF0">
      <w:pPr>
        <w:pStyle w:val="BodyText"/>
        <w:jc w:val="center"/>
        <w:rPr>
          <w:rFonts w:ascii="Arial" w:hAnsi="Arial" w:cs="Arial"/>
          <w:b/>
          <w:bCs/>
          <w:sz w:val="22"/>
          <w:szCs w:val="22"/>
        </w:rPr>
      </w:pPr>
      <w:r w:rsidRPr="00A72566">
        <w:rPr>
          <w:rFonts w:ascii="Arial" w:hAnsi="Arial" w:cs="Arial"/>
          <w:b/>
          <w:bCs/>
          <w:sz w:val="22"/>
          <w:szCs w:val="22"/>
        </w:rPr>
        <w:lastRenderedPageBreak/>
        <w:t xml:space="preserve">Percentage Distribution of Foreign Liabilities Stocks in Resident Enterprises in Palestine by Type of Investment, at </w:t>
      </w:r>
      <w:r w:rsidR="00CB5E87" w:rsidRPr="00A72566">
        <w:rPr>
          <w:rFonts w:ascii="Arial" w:hAnsi="Arial" w:cs="Arial"/>
          <w:b/>
          <w:bCs/>
          <w:sz w:val="22"/>
          <w:szCs w:val="22"/>
        </w:rPr>
        <w:t xml:space="preserve">the </w:t>
      </w:r>
      <w:r w:rsidRPr="00A72566">
        <w:rPr>
          <w:rFonts w:ascii="Arial" w:hAnsi="Arial" w:cs="Arial"/>
          <w:b/>
          <w:bCs/>
          <w:sz w:val="22"/>
          <w:szCs w:val="22"/>
        </w:rPr>
        <w:t>end</w:t>
      </w:r>
      <w:r w:rsidR="007117F6" w:rsidRPr="00A72566">
        <w:rPr>
          <w:rFonts w:ascii="Arial" w:hAnsi="Arial" w:cs="Arial"/>
          <w:b/>
          <w:bCs/>
          <w:sz w:val="22"/>
          <w:szCs w:val="22"/>
        </w:rPr>
        <w:t xml:space="preserve"> of</w:t>
      </w:r>
      <w:r w:rsidRPr="00A72566">
        <w:rPr>
          <w:rFonts w:ascii="Arial" w:hAnsi="Arial" w:cs="Arial"/>
          <w:b/>
          <w:bCs/>
          <w:sz w:val="22"/>
          <w:szCs w:val="22"/>
        </w:rPr>
        <w:t xml:space="preserve"> </w:t>
      </w:r>
      <w:r w:rsidR="00BC01CB">
        <w:rPr>
          <w:rFonts w:ascii="Arial" w:hAnsi="Arial" w:cs="Arial"/>
          <w:b/>
          <w:bCs/>
          <w:sz w:val="22"/>
          <w:szCs w:val="22"/>
        </w:rPr>
        <w:t>2018</w:t>
      </w:r>
    </w:p>
    <w:p w:rsidR="003C6E14" w:rsidRPr="00A72566" w:rsidRDefault="003C6E14" w:rsidP="003C6E14">
      <w:pPr>
        <w:pStyle w:val="BodyText"/>
        <w:jc w:val="center"/>
      </w:pPr>
      <w:r w:rsidRPr="00A72566">
        <w:rPr>
          <w:noProof/>
          <w:bdr w:val="single" w:sz="4" w:space="0" w:color="auto"/>
        </w:rPr>
        <w:drawing>
          <wp:inline distT="0" distB="0" distL="0" distR="0">
            <wp:extent cx="5279390" cy="2390775"/>
            <wp:effectExtent l="0" t="0" r="0" b="0"/>
            <wp:docPr id="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618A5" w:rsidRPr="00A72566" w:rsidRDefault="008618A5" w:rsidP="003C6E14">
      <w:pPr>
        <w:pStyle w:val="BodyText3"/>
        <w:rPr>
          <w:b/>
          <w:bCs/>
          <w:sz w:val="28"/>
          <w:szCs w:val="28"/>
        </w:rPr>
      </w:pPr>
    </w:p>
    <w:p w:rsidR="003C6E14" w:rsidRPr="00A72566" w:rsidRDefault="003C6E14" w:rsidP="00CE0A66">
      <w:pPr>
        <w:pStyle w:val="BodyText3"/>
      </w:pPr>
      <w:r w:rsidRPr="00A72566">
        <w:t>The results show</w:t>
      </w:r>
      <w:r w:rsidR="00CB5E87" w:rsidRPr="00A72566">
        <w:t>ed</w:t>
      </w:r>
      <w:r w:rsidRPr="00A72566">
        <w:t xml:space="preserve"> that </w:t>
      </w:r>
      <w:r w:rsidR="000236F4">
        <w:t>64.</w:t>
      </w:r>
      <w:r w:rsidR="0007340E">
        <w:t>3</w:t>
      </w:r>
      <w:r w:rsidRPr="00A72566">
        <w:t xml:space="preserve">% of foreign direct investment (FDI) in resident enterprises in Palestine is concentrated in the financial intermediation </w:t>
      </w:r>
      <w:r w:rsidR="00CE0A66">
        <w:t>activity</w:t>
      </w:r>
      <w:r w:rsidRPr="00A72566">
        <w:t xml:space="preserve">, while investment from Jordan contributed </w:t>
      </w:r>
      <w:r w:rsidR="00903BB8">
        <w:t>81.</w:t>
      </w:r>
      <w:r w:rsidR="0007340E">
        <w:t>3</w:t>
      </w:r>
      <w:r w:rsidRPr="00A72566">
        <w:t>%  of total stock of</w:t>
      </w:r>
      <w:r w:rsidR="00E021E2">
        <w:t xml:space="preserve"> </w:t>
      </w:r>
      <w:r w:rsidR="000236F4">
        <w:t xml:space="preserve"> </w:t>
      </w:r>
      <w:r w:rsidRPr="00A72566">
        <w:t>FDI in resident enterprises in Palestine.</w:t>
      </w:r>
      <w:r w:rsidR="00946C07">
        <w:t>(see tables 2</w:t>
      </w:r>
      <w:r w:rsidR="00286079">
        <w:t>,</w:t>
      </w:r>
      <w:r w:rsidR="00946C07">
        <w:t>3).</w:t>
      </w:r>
    </w:p>
    <w:p w:rsidR="003C6E14" w:rsidRPr="00A72566" w:rsidRDefault="003C6E14" w:rsidP="003C6E14">
      <w:pPr>
        <w:pStyle w:val="BodyText3"/>
      </w:pPr>
    </w:p>
    <w:p w:rsidR="003C6E14" w:rsidRPr="00A72566" w:rsidRDefault="003C6E14" w:rsidP="00CE0A66">
      <w:pPr>
        <w:pStyle w:val="BodyText3"/>
      </w:pPr>
      <w:r w:rsidRPr="00A72566">
        <w:rPr>
          <w:rStyle w:val="hps"/>
        </w:rPr>
        <w:t>The results also show</w:t>
      </w:r>
      <w:r w:rsidR="00CB5E87" w:rsidRPr="00A72566">
        <w:rPr>
          <w:rStyle w:val="hps"/>
        </w:rPr>
        <w:t>ed</w:t>
      </w:r>
      <w:r w:rsidRPr="00A72566">
        <w:rPr>
          <w:rStyle w:val="hps"/>
        </w:rPr>
        <w:t xml:space="preserve"> that </w:t>
      </w:r>
      <w:r w:rsidR="000236F4">
        <w:rPr>
          <w:rStyle w:val="hps"/>
        </w:rPr>
        <w:t>59.8</w:t>
      </w:r>
      <w:r w:rsidRPr="00A72566">
        <w:rPr>
          <w:rStyle w:val="hps"/>
        </w:rPr>
        <w:t xml:space="preserve">% of total portfolio investments in resident enterprises in Palestine is concentrated </w:t>
      </w:r>
      <w:r w:rsidRPr="00A72566">
        <w:t xml:space="preserve">in the financial intermediation </w:t>
      </w:r>
      <w:r w:rsidR="00CE0A66">
        <w:t>activity</w:t>
      </w:r>
      <w:r w:rsidRPr="00A72566">
        <w:rPr>
          <w:rStyle w:val="hps"/>
        </w:rPr>
        <w:t xml:space="preserve">, </w:t>
      </w:r>
      <w:r w:rsidRPr="00A72566">
        <w:t>while investments from Jordan contributed</w:t>
      </w:r>
      <w:r w:rsidR="008618A5" w:rsidRPr="00A72566">
        <w:t xml:space="preserve"> </w:t>
      </w:r>
      <w:r w:rsidR="00903BB8">
        <w:rPr>
          <w:rStyle w:val="hps"/>
        </w:rPr>
        <w:t>51.</w:t>
      </w:r>
      <w:r w:rsidR="000236F4">
        <w:rPr>
          <w:rStyle w:val="hps"/>
        </w:rPr>
        <w:t>1</w:t>
      </w:r>
      <w:r w:rsidRPr="00A72566">
        <w:rPr>
          <w:rStyle w:val="hps"/>
        </w:rPr>
        <w:t>%</w:t>
      </w:r>
      <w:r w:rsidRPr="00A72566">
        <w:t xml:space="preserve"> of the total stock of Portfolio investments in resident enterprise</w:t>
      </w:r>
      <w:r w:rsidR="00946C07">
        <w:t>s in Palestine (see tables 4</w:t>
      </w:r>
      <w:r w:rsidR="00286079">
        <w:t>,</w:t>
      </w:r>
      <w:r w:rsidR="00946C07">
        <w:t xml:space="preserve">5). </w:t>
      </w:r>
    </w:p>
    <w:p w:rsidR="008618A5" w:rsidRPr="00A72566" w:rsidRDefault="008618A5" w:rsidP="00DF1EC0">
      <w:pPr>
        <w:pStyle w:val="Heading2"/>
        <w:ind w:left="0"/>
        <w:jc w:val="center"/>
        <w:rPr>
          <w:rFonts w:cs="Times New Roman"/>
          <w:b w:val="0"/>
          <w:bCs w:val="0"/>
          <w:color w:val="000000" w:themeColor="text1"/>
          <w:szCs w:val="24"/>
        </w:rPr>
      </w:pPr>
    </w:p>
    <w:p w:rsidR="008618A5" w:rsidRPr="00A72566" w:rsidRDefault="008618A5" w:rsidP="008618A5"/>
    <w:p w:rsidR="008618A5" w:rsidRPr="00A72566" w:rsidRDefault="008618A5" w:rsidP="008618A5"/>
    <w:p w:rsidR="008618A5" w:rsidRPr="00A72566" w:rsidRDefault="008618A5" w:rsidP="008618A5"/>
    <w:p w:rsidR="008618A5" w:rsidRPr="00A72566" w:rsidRDefault="008618A5" w:rsidP="008618A5"/>
    <w:p w:rsidR="008618A5" w:rsidRPr="00A72566" w:rsidRDefault="008618A5" w:rsidP="00DF1EC0">
      <w:pPr>
        <w:pStyle w:val="Heading2"/>
        <w:ind w:left="0"/>
        <w:jc w:val="center"/>
        <w:rPr>
          <w:rFonts w:cs="Times New Roman"/>
          <w:b w:val="0"/>
          <w:bCs w:val="0"/>
          <w:color w:val="000000" w:themeColor="text1"/>
          <w:szCs w:val="24"/>
        </w:rPr>
      </w:pPr>
    </w:p>
    <w:p w:rsidR="008618A5" w:rsidRPr="00A72566" w:rsidRDefault="008618A5" w:rsidP="008618A5"/>
    <w:p w:rsidR="008618A5" w:rsidRPr="00A72566" w:rsidRDefault="008618A5" w:rsidP="00DF1EC0">
      <w:pPr>
        <w:pStyle w:val="Heading2"/>
        <w:ind w:left="0"/>
        <w:jc w:val="center"/>
        <w:rPr>
          <w:rFonts w:cs="Times New Roman"/>
          <w:b w:val="0"/>
          <w:bCs w:val="0"/>
          <w:color w:val="000000" w:themeColor="text1"/>
          <w:szCs w:val="24"/>
        </w:rPr>
      </w:pPr>
    </w:p>
    <w:p w:rsidR="008618A5" w:rsidRPr="00A72566" w:rsidRDefault="008618A5" w:rsidP="008618A5"/>
    <w:p w:rsidR="008618A5" w:rsidRPr="00A72566" w:rsidRDefault="008618A5" w:rsidP="008618A5"/>
    <w:p w:rsidR="008618A5" w:rsidRPr="00A72566" w:rsidRDefault="008618A5" w:rsidP="008618A5"/>
    <w:p w:rsidR="008618A5" w:rsidRPr="00A72566" w:rsidRDefault="008618A5" w:rsidP="008618A5"/>
    <w:p w:rsidR="008618A5" w:rsidRPr="00A72566" w:rsidRDefault="008618A5" w:rsidP="008618A5"/>
    <w:p w:rsidR="008618A5" w:rsidRPr="00A72566" w:rsidRDefault="008618A5" w:rsidP="008618A5"/>
    <w:p w:rsidR="008618A5" w:rsidRPr="00A72566" w:rsidRDefault="008618A5" w:rsidP="008618A5"/>
    <w:p w:rsidR="008618A5" w:rsidRPr="00A72566" w:rsidRDefault="008618A5" w:rsidP="008618A5"/>
    <w:p w:rsidR="008618A5" w:rsidRPr="00A72566" w:rsidRDefault="008618A5" w:rsidP="008618A5"/>
    <w:p w:rsidR="008618A5" w:rsidRPr="00A72566" w:rsidRDefault="008618A5" w:rsidP="008618A5"/>
    <w:p w:rsidR="008618A5" w:rsidRPr="00A72566" w:rsidRDefault="008618A5" w:rsidP="008618A5"/>
    <w:p w:rsidR="008618A5" w:rsidRPr="00A72566" w:rsidRDefault="008618A5" w:rsidP="008618A5"/>
    <w:p w:rsidR="008618A5" w:rsidRPr="00A72566" w:rsidRDefault="008618A5" w:rsidP="008618A5"/>
    <w:p w:rsidR="008618A5" w:rsidRPr="00A72566" w:rsidRDefault="008618A5" w:rsidP="008618A5"/>
    <w:p w:rsidR="008618A5" w:rsidRPr="00A72566" w:rsidRDefault="008618A5" w:rsidP="008618A5"/>
    <w:p w:rsidR="008618A5" w:rsidRPr="00A72566" w:rsidRDefault="008618A5" w:rsidP="008618A5"/>
    <w:p w:rsidR="008618A5" w:rsidRPr="00A72566" w:rsidRDefault="008618A5" w:rsidP="008618A5"/>
    <w:p w:rsidR="008618A5" w:rsidRPr="00A72566" w:rsidRDefault="008618A5" w:rsidP="00DF1EC0">
      <w:pPr>
        <w:pStyle w:val="Heading2"/>
        <w:ind w:left="0"/>
        <w:jc w:val="center"/>
        <w:rPr>
          <w:rFonts w:cs="Times New Roman"/>
          <w:b w:val="0"/>
          <w:bCs w:val="0"/>
          <w:color w:val="000000" w:themeColor="text1"/>
          <w:szCs w:val="24"/>
        </w:rPr>
      </w:pPr>
    </w:p>
    <w:p w:rsidR="008618A5" w:rsidRPr="00A72566" w:rsidRDefault="008618A5" w:rsidP="008618A5"/>
    <w:p w:rsidR="00114A81" w:rsidRPr="00A72566" w:rsidRDefault="00564750" w:rsidP="00DF1EC0">
      <w:pPr>
        <w:pStyle w:val="Heading2"/>
        <w:ind w:left="0"/>
        <w:jc w:val="center"/>
        <w:rPr>
          <w:rFonts w:cs="Times New Roman"/>
          <w:color w:val="000000" w:themeColor="text1"/>
          <w:sz w:val="28"/>
          <w:szCs w:val="28"/>
        </w:rPr>
      </w:pPr>
      <w:r w:rsidRPr="00A72566">
        <w:rPr>
          <w:rFonts w:cs="Times New Roman"/>
          <w:b w:val="0"/>
          <w:bCs w:val="0"/>
          <w:color w:val="000000" w:themeColor="text1"/>
          <w:szCs w:val="24"/>
        </w:rPr>
        <w:lastRenderedPageBreak/>
        <w:t>Chapter Three</w:t>
      </w:r>
    </w:p>
    <w:p w:rsidR="00114A81" w:rsidRPr="00A72566" w:rsidRDefault="00114A81" w:rsidP="00114A81">
      <w:pPr>
        <w:pStyle w:val="Heading2"/>
        <w:jc w:val="center"/>
        <w:rPr>
          <w:rFonts w:cs="Times New Roman"/>
          <w:color w:val="000000" w:themeColor="text1"/>
          <w:sz w:val="28"/>
          <w:szCs w:val="28"/>
        </w:rPr>
      </w:pPr>
    </w:p>
    <w:p w:rsidR="00564750" w:rsidRPr="00A72566" w:rsidRDefault="00564750" w:rsidP="00114A81">
      <w:pPr>
        <w:pStyle w:val="Heading2"/>
        <w:jc w:val="center"/>
        <w:rPr>
          <w:rFonts w:cs="Times New Roman"/>
          <w:color w:val="000000" w:themeColor="text1"/>
          <w:sz w:val="28"/>
          <w:szCs w:val="28"/>
        </w:rPr>
      </w:pPr>
      <w:r w:rsidRPr="00A72566">
        <w:rPr>
          <w:rFonts w:cs="Times New Roman"/>
          <w:color w:val="000000" w:themeColor="text1"/>
          <w:sz w:val="28"/>
          <w:szCs w:val="28"/>
        </w:rPr>
        <w:t>Methodology</w:t>
      </w:r>
      <w:r w:rsidRPr="00A72566">
        <w:rPr>
          <w:rFonts w:cs="Times New Roman"/>
          <w:color w:val="000000" w:themeColor="text1"/>
        </w:rPr>
        <w:t xml:space="preserve"> </w:t>
      </w:r>
    </w:p>
    <w:p w:rsidR="00564750" w:rsidRPr="00A72566" w:rsidRDefault="00564750" w:rsidP="00564750">
      <w:pPr>
        <w:rPr>
          <w:color w:val="000000" w:themeColor="text1"/>
          <w:sz w:val="24"/>
          <w:szCs w:val="24"/>
        </w:rPr>
      </w:pPr>
    </w:p>
    <w:p w:rsidR="00564750" w:rsidRPr="00A72566" w:rsidRDefault="00564750" w:rsidP="00CB5E87">
      <w:pPr>
        <w:tabs>
          <w:tab w:val="num" w:pos="0"/>
        </w:tabs>
        <w:ind w:right="1"/>
        <w:jc w:val="both"/>
        <w:rPr>
          <w:color w:val="000000" w:themeColor="text1"/>
          <w:sz w:val="24"/>
          <w:szCs w:val="24"/>
        </w:rPr>
      </w:pPr>
      <w:r w:rsidRPr="00A72566">
        <w:rPr>
          <w:color w:val="000000" w:themeColor="text1"/>
          <w:sz w:val="24"/>
          <w:szCs w:val="24"/>
        </w:rPr>
        <w:t xml:space="preserve">This chapter describes the </w:t>
      </w:r>
      <w:r w:rsidR="00522AC4" w:rsidRPr="00A72566">
        <w:rPr>
          <w:color w:val="000000" w:themeColor="text1"/>
          <w:sz w:val="24"/>
          <w:szCs w:val="24"/>
        </w:rPr>
        <w:t xml:space="preserve">survey's </w:t>
      </w:r>
      <w:r w:rsidRPr="00A72566">
        <w:rPr>
          <w:color w:val="000000" w:themeColor="text1"/>
          <w:sz w:val="24"/>
          <w:szCs w:val="24"/>
        </w:rPr>
        <w:t>objectives, questionnaire, frame and sampling</w:t>
      </w:r>
      <w:r w:rsidR="00FD0AD0" w:rsidRPr="00A72566">
        <w:rPr>
          <w:color w:val="000000" w:themeColor="text1"/>
          <w:sz w:val="24"/>
          <w:szCs w:val="24"/>
        </w:rPr>
        <w:t xml:space="preserve">, </w:t>
      </w:r>
      <w:r w:rsidR="00522AC4" w:rsidRPr="00A72566">
        <w:rPr>
          <w:color w:val="000000" w:themeColor="text1"/>
          <w:sz w:val="24"/>
          <w:szCs w:val="24"/>
        </w:rPr>
        <w:t>together with</w:t>
      </w:r>
      <w:r w:rsidR="00422DCD" w:rsidRPr="00A72566">
        <w:rPr>
          <w:color w:val="000000" w:themeColor="text1"/>
          <w:sz w:val="24"/>
          <w:szCs w:val="24"/>
        </w:rPr>
        <w:t xml:space="preserve"> </w:t>
      </w:r>
      <w:r w:rsidR="00CB5E87" w:rsidRPr="00A72566">
        <w:rPr>
          <w:color w:val="000000" w:themeColor="text1"/>
          <w:sz w:val="24"/>
          <w:szCs w:val="24"/>
        </w:rPr>
        <w:t xml:space="preserve">the </w:t>
      </w:r>
      <w:r w:rsidR="00FD0AD0" w:rsidRPr="00A72566">
        <w:rPr>
          <w:color w:val="000000" w:themeColor="text1"/>
          <w:sz w:val="24"/>
          <w:szCs w:val="24"/>
        </w:rPr>
        <w:t>fieldwork operations,</w:t>
      </w:r>
      <w:r w:rsidRPr="00A72566">
        <w:rPr>
          <w:color w:val="000000" w:themeColor="text1"/>
          <w:sz w:val="24"/>
          <w:szCs w:val="24"/>
        </w:rPr>
        <w:t xml:space="preserve"> and data processing.</w:t>
      </w:r>
    </w:p>
    <w:p w:rsidR="00564750" w:rsidRPr="00A72566" w:rsidRDefault="00564750" w:rsidP="000B60BA">
      <w:pPr>
        <w:tabs>
          <w:tab w:val="num" w:pos="0"/>
        </w:tabs>
        <w:ind w:right="1"/>
        <w:jc w:val="both"/>
        <w:rPr>
          <w:b/>
          <w:bCs/>
          <w:color w:val="000000" w:themeColor="text1"/>
          <w:sz w:val="24"/>
          <w:szCs w:val="24"/>
        </w:rPr>
      </w:pPr>
      <w:r w:rsidRPr="00A72566">
        <w:rPr>
          <w:b/>
          <w:bCs/>
          <w:color w:val="000000" w:themeColor="text1"/>
          <w:sz w:val="24"/>
          <w:szCs w:val="24"/>
        </w:rPr>
        <w:t xml:space="preserve"> </w:t>
      </w:r>
    </w:p>
    <w:p w:rsidR="00564750" w:rsidRPr="00A72566" w:rsidRDefault="001C5C29" w:rsidP="00F867F0">
      <w:pPr>
        <w:tabs>
          <w:tab w:val="num" w:pos="0"/>
        </w:tabs>
        <w:ind w:right="1"/>
        <w:jc w:val="both"/>
        <w:rPr>
          <w:b/>
          <w:bCs/>
          <w:color w:val="000000" w:themeColor="text1"/>
          <w:sz w:val="24"/>
          <w:szCs w:val="24"/>
        </w:rPr>
      </w:pPr>
      <w:r w:rsidRPr="00A72566">
        <w:rPr>
          <w:b/>
          <w:bCs/>
          <w:color w:val="000000" w:themeColor="text1"/>
          <w:sz w:val="24"/>
          <w:szCs w:val="24"/>
        </w:rPr>
        <w:t>3</w:t>
      </w:r>
      <w:r w:rsidR="00564750" w:rsidRPr="00A72566">
        <w:rPr>
          <w:b/>
          <w:bCs/>
          <w:color w:val="000000" w:themeColor="text1"/>
          <w:sz w:val="24"/>
          <w:szCs w:val="24"/>
        </w:rPr>
        <w:t xml:space="preserve">.1 </w:t>
      </w:r>
      <w:r w:rsidR="00F867F0" w:rsidRPr="00A72566">
        <w:rPr>
          <w:b/>
          <w:bCs/>
          <w:color w:val="000000" w:themeColor="text1"/>
          <w:sz w:val="24"/>
          <w:szCs w:val="24"/>
        </w:rPr>
        <w:t>Survey Objectives</w:t>
      </w:r>
    </w:p>
    <w:p w:rsidR="008618A5" w:rsidRPr="00A72566" w:rsidRDefault="008618A5" w:rsidP="00487AC9">
      <w:pPr>
        <w:jc w:val="both"/>
        <w:rPr>
          <w:sz w:val="24"/>
          <w:szCs w:val="24"/>
        </w:rPr>
      </w:pPr>
      <w:r w:rsidRPr="00A72566">
        <w:rPr>
          <w:sz w:val="24"/>
          <w:szCs w:val="24"/>
        </w:rPr>
        <w:t xml:space="preserve">The Foreign Investment Survey of resident enterprises in Palestine for </w:t>
      </w:r>
      <w:r w:rsidR="00BC01CB">
        <w:rPr>
          <w:sz w:val="24"/>
          <w:szCs w:val="24"/>
        </w:rPr>
        <w:t>2018</w:t>
      </w:r>
      <w:r w:rsidRPr="00A72566">
        <w:rPr>
          <w:sz w:val="24"/>
          <w:szCs w:val="24"/>
        </w:rPr>
        <w:t xml:space="preserve"> aims to provide indicators about:</w:t>
      </w:r>
    </w:p>
    <w:p w:rsidR="008618A5" w:rsidRPr="00A72566" w:rsidRDefault="008618A5" w:rsidP="00644F0F">
      <w:pPr>
        <w:numPr>
          <w:ilvl w:val="0"/>
          <w:numId w:val="42"/>
        </w:numPr>
        <w:ind w:left="426" w:right="217" w:hanging="284"/>
        <w:jc w:val="both"/>
        <w:rPr>
          <w:color w:val="000000" w:themeColor="text1"/>
          <w:sz w:val="24"/>
          <w:szCs w:val="24"/>
        </w:rPr>
      </w:pPr>
      <w:r w:rsidRPr="00A72566">
        <w:rPr>
          <w:color w:val="000000" w:themeColor="text1"/>
          <w:sz w:val="24"/>
          <w:szCs w:val="24"/>
        </w:rPr>
        <w:t>Stocks of foreign direct investment</w:t>
      </w:r>
      <w:r w:rsidR="003A4EDE" w:rsidRPr="00A72566">
        <w:rPr>
          <w:color w:val="000000" w:themeColor="text1"/>
          <w:sz w:val="24"/>
          <w:szCs w:val="24"/>
        </w:rPr>
        <w:t>s</w:t>
      </w:r>
      <w:r w:rsidRPr="00A72566">
        <w:rPr>
          <w:color w:val="000000" w:themeColor="text1"/>
          <w:sz w:val="24"/>
          <w:szCs w:val="24"/>
        </w:rPr>
        <w:t xml:space="preserve"> and portfolio investment</w:t>
      </w:r>
      <w:r w:rsidR="003A4EDE" w:rsidRPr="00A72566">
        <w:rPr>
          <w:color w:val="000000" w:themeColor="text1"/>
          <w:sz w:val="24"/>
          <w:szCs w:val="24"/>
        </w:rPr>
        <w:t>s</w:t>
      </w:r>
      <w:r w:rsidRPr="00A72566">
        <w:rPr>
          <w:color w:val="000000" w:themeColor="text1"/>
          <w:sz w:val="24"/>
          <w:szCs w:val="24"/>
        </w:rPr>
        <w:t xml:space="preserve"> in resident enterprises in Palestine and its distribution by economic activity and country.</w:t>
      </w:r>
    </w:p>
    <w:p w:rsidR="008618A5" w:rsidRPr="00A72566" w:rsidRDefault="008618A5" w:rsidP="00644F0F">
      <w:pPr>
        <w:numPr>
          <w:ilvl w:val="0"/>
          <w:numId w:val="42"/>
        </w:numPr>
        <w:ind w:left="426" w:right="217" w:hanging="284"/>
        <w:jc w:val="both"/>
        <w:rPr>
          <w:color w:val="000000" w:themeColor="text1"/>
          <w:sz w:val="24"/>
          <w:szCs w:val="24"/>
        </w:rPr>
      </w:pPr>
      <w:r w:rsidRPr="00A72566">
        <w:rPr>
          <w:color w:val="000000" w:themeColor="text1"/>
          <w:sz w:val="24"/>
          <w:szCs w:val="24"/>
        </w:rPr>
        <w:t xml:space="preserve">Stocks of direct investments and portfolio investments abroad. </w:t>
      </w:r>
    </w:p>
    <w:p w:rsidR="008618A5" w:rsidRPr="00A72566" w:rsidRDefault="008618A5" w:rsidP="00644F0F">
      <w:pPr>
        <w:numPr>
          <w:ilvl w:val="0"/>
          <w:numId w:val="42"/>
        </w:numPr>
        <w:ind w:left="426" w:right="217" w:hanging="284"/>
        <w:jc w:val="both"/>
        <w:rPr>
          <w:color w:val="000000" w:themeColor="text1"/>
          <w:sz w:val="24"/>
          <w:szCs w:val="24"/>
        </w:rPr>
      </w:pPr>
      <w:r w:rsidRPr="00A72566">
        <w:rPr>
          <w:color w:val="000000" w:themeColor="text1"/>
          <w:sz w:val="24"/>
          <w:szCs w:val="24"/>
        </w:rPr>
        <w:t>Stocks of other foreign investments in resident enterprises in Palestine and abroad.</w:t>
      </w:r>
    </w:p>
    <w:p w:rsidR="00564750" w:rsidRPr="00A72566" w:rsidRDefault="00522AC4" w:rsidP="00644F0F">
      <w:pPr>
        <w:ind w:left="426" w:right="1" w:hanging="284"/>
        <w:jc w:val="both"/>
        <w:rPr>
          <w:b/>
          <w:bCs/>
          <w:color w:val="000000" w:themeColor="text1"/>
          <w:sz w:val="24"/>
          <w:szCs w:val="24"/>
        </w:rPr>
      </w:pPr>
      <w:r w:rsidRPr="00A72566">
        <w:rPr>
          <w:color w:val="000000" w:themeColor="text1"/>
          <w:sz w:val="24"/>
          <w:szCs w:val="24"/>
        </w:rPr>
        <w:t xml:space="preserve">4. </w:t>
      </w:r>
      <w:r w:rsidR="008618A5" w:rsidRPr="00A72566">
        <w:rPr>
          <w:color w:val="000000" w:themeColor="text1"/>
          <w:sz w:val="24"/>
          <w:szCs w:val="24"/>
        </w:rPr>
        <w:t>Stocks of reserve assets (for the Palestine Monetary Authority).</w:t>
      </w:r>
    </w:p>
    <w:p w:rsidR="008618A5" w:rsidRPr="00A72566" w:rsidRDefault="008618A5" w:rsidP="008618A5">
      <w:pPr>
        <w:tabs>
          <w:tab w:val="num" w:pos="0"/>
        </w:tabs>
        <w:ind w:right="1"/>
        <w:jc w:val="both"/>
        <w:rPr>
          <w:b/>
          <w:bCs/>
          <w:color w:val="000000" w:themeColor="text1"/>
          <w:sz w:val="24"/>
          <w:szCs w:val="24"/>
        </w:rPr>
      </w:pPr>
    </w:p>
    <w:p w:rsidR="00564750" w:rsidRPr="00A72566" w:rsidRDefault="001C5C29" w:rsidP="000B60BA">
      <w:pPr>
        <w:tabs>
          <w:tab w:val="num" w:pos="0"/>
        </w:tabs>
        <w:ind w:right="1"/>
        <w:jc w:val="both"/>
        <w:rPr>
          <w:color w:val="000000" w:themeColor="text1"/>
          <w:sz w:val="24"/>
          <w:szCs w:val="24"/>
        </w:rPr>
      </w:pPr>
      <w:r w:rsidRPr="00A72566">
        <w:rPr>
          <w:b/>
          <w:bCs/>
          <w:color w:val="000000" w:themeColor="text1"/>
          <w:sz w:val="24"/>
          <w:szCs w:val="24"/>
        </w:rPr>
        <w:t xml:space="preserve">3.2 </w:t>
      </w:r>
      <w:r w:rsidR="00564750" w:rsidRPr="00A72566">
        <w:rPr>
          <w:b/>
          <w:bCs/>
          <w:color w:val="000000" w:themeColor="text1"/>
          <w:sz w:val="24"/>
          <w:szCs w:val="24"/>
        </w:rPr>
        <w:t>Questionnaire</w:t>
      </w:r>
    </w:p>
    <w:p w:rsidR="008618A5" w:rsidRPr="00A72566" w:rsidRDefault="00522AC4" w:rsidP="002E2EAB">
      <w:pPr>
        <w:tabs>
          <w:tab w:val="left" w:pos="0"/>
        </w:tabs>
        <w:ind w:right="1"/>
        <w:jc w:val="both"/>
        <w:rPr>
          <w:color w:val="000000" w:themeColor="text1"/>
          <w:sz w:val="24"/>
          <w:szCs w:val="24"/>
        </w:rPr>
      </w:pPr>
      <w:r w:rsidRPr="00A72566">
        <w:rPr>
          <w:color w:val="000000" w:themeColor="text1"/>
          <w:sz w:val="24"/>
          <w:szCs w:val="24"/>
        </w:rPr>
        <w:t>The questionnaire used in this survey has much in common with other Economic Su</w:t>
      </w:r>
      <w:r w:rsidR="00CB5E87" w:rsidRPr="00A72566">
        <w:rPr>
          <w:color w:val="000000" w:themeColor="text1"/>
          <w:sz w:val="24"/>
          <w:szCs w:val="24"/>
        </w:rPr>
        <w:t>rvey Series questionnaires. The design of the questionnaire</w:t>
      </w:r>
      <w:r w:rsidRPr="00A72566">
        <w:rPr>
          <w:color w:val="000000" w:themeColor="text1"/>
          <w:sz w:val="24"/>
          <w:szCs w:val="24"/>
        </w:rPr>
        <w:t xml:space="preserve"> took into account</w:t>
      </w:r>
      <w:r w:rsidR="008618A5" w:rsidRPr="00A72566">
        <w:rPr>
          <w:color w:val="000000" w:themeColor="text1"/>
          <w:sz w:val="24"/>
          <w:szCs w:val="24"/>
        </w:rPr>
        <w:t xml:space="preserve"> the </w:t>
      </w:r>
      <w:r w:rsidRPr="00A72566">
        <w:rPr>
          <w:color w:val="000000" w:themeColor="text1"/>
          <w:sz w:val="24"/>
          <w:szCs w:val="24"/>
        </w:rPr>
        <w:t>major</w:t>
      </w:r>
      <w:r w:rsidR="008618A5" w:rsidRPr="00A72566">
        <w:rPr>
          <w:color w:val="000000" w:themeColor="text1"/>
          <w:sz w:val="24"/>
          <w:szCs w:val="24"/>
        </w:rPr>
        <w:t xml:space="preserve"> economic variables related to investment activities with the rest of the world</w:t>
      </w:r>
      <w:r w:rsidR="002E2EAB" w:rsidRPr="00A72566">
        <w:rPr>
          <w:color w:val="000000" w:themeColor="text1"/>
          <w:sz w:val="24"/>
          <w:szCs w:val="24"/>
        </w:rPr>
        <w:t xml:space="preserve"> </w:t>
      </w:r>
      <w:r w:rsidR="00554F38" w:rsidRPr="00A72566">
        <w:rPr>
          <w:color w:val="000000" w:themeColor="text1"/>
          <w:sz w:val="24"/>
          <w:szCs w:val="24"/>
        </w:rPr>
        <w:t xml:space="preserve">to meet the requirements used in compiling the </w:t>
      </w:r>
      <w:r w:rsidRPr="00A72566">
        <w:rPr>
          <w:color w:val="000000" w:themeColor="text1"/>
          <w:sz w:val="24"/>
          <w:szCs w:val="24"/>
        </w:rPr>
        <w:t>international investment position (IIP)</w:t>
      </w:r>
      <w:r w:rsidR="008618A5" w:rsidRPr="00A72566">
        <w:rPr>
          <w:color w:val="000000" w:themeColor="text1"/>
          <w:sz w:val="24"/>
          <w:szCs w:val="24"/>
        </w:rPr>
        <w:t xml:space="preserve">, </w:t>
      </w:r>
      <w:r w:rsidR="00554F38" w:rsidRPr="00A72566">
        <w:rPr>
          <w:color w:val="000000" w:themeColor="text1"/>
          <w:sz w:val="24"/>
          <w:szCs w:val="24"/>
        </w:rPr>
        <w:t xml:space="preserve">and </w:t>
      </w:r>
      <w:r w:rsidR="008618A5" w:rsidRPr="00A72566">
        <w:rPr>
          <w:color w:val="000000" w:themeColor="text1"/>
          <w:sz w:val="24"/>
          <w:szCs w:val="24"/>
        </w:rPr>
        <w:t>balance of payments (BOP</w:t>
      </w:r>
      <w:r w:rsidRPr="00A72566">
        <w:rPr>
          <w:color w:val="000000" w:themeColor="text1"/>
          <w:sz w:val="24"/>
          <w:szCs w:val="24"/>
        </w:rPr>
        <w:t>).</w:t>
      </w:r>
    </w:p>
    <w:p w:rsidR="00564750" w:rsidRPr="00A72566" w:rsidRDefault="00564750" w:rsidP="000B60BA">
      <w:pPr>
        <w:tabs>
          <w:tab w:val="num" w:pos="0"/>
        </w:tabs>
        <w:ind w:right="1"/>
        <w:jc w:val="both"/>
        <w:rPr>
          <w:color w:val="000000" w:themeColor="text1"/>
          <w:sz w:val="24"/>
          <w:szCs w:val="24"/>
        </w:rPr>
      </w:pPr>
    </w:p>
    <w:p w:rsidR="00564750" w:rsidRPr="00A72566" w:rsidRDefault="001C5C29" w:rsidP="000B60BA">
      <w:pPr>
        <w:tabs>
          <w:tab w:val="num" w:pos="0"/>
          <w:tab w:val="left" w:pos="142"/>
        </w:tabs>
        <w:ind w:right="1"/>
        <w:jc w:val="both"/>
        <w:rPr>
          <w:b/>
          <w:bCs/>
          <w:color w:val="000000" w:themeColor="text1"/>
          <w:sz w:val="24"/>
          <w:szCs w:val="24"/>
        </w:rPr>
      </w:pPr>
      <w:r w:rsidRPr="00A72566">
        <w:rPr>
          <w:b/>
          <w:bCs/>
          <w:color w:val="000000" w:themeColor="text1"/>
          <w:sz w:val="24"/>
          <w:szCs w:val="24"/>
        </w:rPr>
        <w:t>3</w:t>
      </w:r>
      <w:r w:rsidR="00564750" w:rsidRPr="00A72566">
        <w:rPr>
          <w:b/>
          <w:bCs/>
          <w:color w:val="000000" w:themeColor="text1"/>
          <w:sz w:val="24"/>
          <w:szCs w:val="24"/>
        </w:rPr>
        <w:t>.</w:t>
      </w:r>
      <w:r w:rsidRPr="00A72566">
        <w:rPr>
          <w:b/>
          <w:bCs/>
          <w:color w:val="000000" w:themeColor="text1"/>
          <w:sz w:val="24"/>
          <w:szCs w:val="24"/>
        </w:rPr>
        <w:t>3</w:t>
      </w:r>
      <w:r w:rsidR="00564750" w:rsidRPr="00A72566">
        <w:rPr>
          <w:b/>
          <w:bCs/>
          <w:color w:val="000000" w:themeColor="text1"/>
          <w:sz w:val="24"/>
          <w:szCs w:val="24"/>
        </w:rPr>
        <w:t xml:space="preserve"> Frame and Sample</w:t>
      </w:r>
    </w:p>
    <w:p w:rsidR="008618A5" w:rsidRPr="00A72566" w:rsidRDefault="008618A5" w:rsidP="008374AE">
      <w:pPr>
        <w:tabs>
          <w:tab w:val="left" w:pos="142"/>
        </w:tabs>
        <w:ind w:right="1"/>
        <w:jc w:val="both"/>
        <w:rPr>
          <w:color w:val="000000" w:themeColor="text1"/>
          <w:sz w:val="24"/>
          <w:szCs w:val="24"/>
        </w:rPr>
      </w:pPr>
      <w:r w:rsidRPr="00A72566">
        <w:rPr>
          <w:color w:val="000000" w:themeColor="text1"/>
          <w:sz w:val="24"/>
          <w:szCs w:val="24"/>
        </w:rPr>
        <w:t xml:space="preserve">The sampling frame </w:t>
      </w:r>
      <w:r w:rsidR="002E2EAB" w:rsidRPr="00A72566">
        <w:rPr>
          <w:color w:val="000000" w:themeColor="text1"/>
          <w:sz w:val="24"/>
          <w:szCs w:val="24"/>
        </w:rPr>
        <w:t>included all</w:t>
      </w:r>
      <w:r w:rsidRPr="00A72566">
        <w:rPr>
          <w:color w:val="000000" w:themeColor="text1"/>
          <w:sz w:val="24"/>
          <w:szCs w:val="24"/>
        </w:rPr>
        <w:t xml:space="preserve"> profit enterprises in Palestine, </w:t>
      </w:r>
      <w:r w:rsidR="002E2EAB" w:rsidRPr="00A72566">
        <w:rPr>
          <w:color w:val="000000" w:themeColor="text1"/>
          <w:sz w:val="24"/>
          <w:szCs w:val="24"/>
        </w:rPr>
        <w:t>either have</w:t>
      </w:r>
      <w:r w:rsidRPr="00A72566">
        <w:rPr>
          <w:color w:val="000000" w:themeColor="text1"/>
          <w:sz w:val="24"/>
          <w:szCs w:val="24"/>
        </w:rPr>
        <w:t xml:space="preserve"> investment</w:t>
      </w:r>
      <w:r w:rsidR="002E2EAB" w:rsidRPr="00A72566">
        <w:rPr>
          <w:color w:val="000000" w:themeColor="text1"/>
          <w:sz w:val="24"/>
          <w:szCs w:val="24"/>
        </w:rPr>
        <w:t>s</w:t>
      </w:r>
      <w:r w:rsidRPr="00A72566">
        <w:rPr>
          <w:color w:val="000000" w:themeColor="text1"/>
          <w:sz w:val="24"/>
          <w:szCs w:val="24"/>
        </w:rPr>
        <w:t xml:space="preserve"> from abroad or have </w:t>
      </w:r>
      <w:r w:rsidR="002E2EAB" w:rsidRPr="00A72566">
        <w:rPr>
          <w:color w:val="000000" w:themeColor="text1"/>
          <w:sz w:val="24"/>
          <w:szCs w:val="24"/>
        </w:rPr>
        <w:t>investments abroad or both (full coverage)</w:t>
      </w:r>
      <w:r w:rsidR="00405810" w:rsidRPr="00A72566">
        <w:rPr>
          <w:color w:val="000000" w:themeColor="text1"/>
          <w:sz w:val="24"/>
          <w:szCs w:val="24"/>
        </w:rPr>
        <w:t xml:space="preserve"> according to </w:t>
      </w:r>
      <w:r w:rsidR="00B92737">
        <w:rPr>
          <w:color w:val="000000" w:themeColor="text1"/>
          <w:sz w:val="24"/>
          <w:szCs w:val="24"/>
        </w:rPr>
        <w:t>the E</w:t>
      </w:r>
      <w:r w:rsidR="0003242E">
        <w:rPr>
          <w:color w:val="000000" w:themeColor="text1"/>
          <w:sz w:val="24"/>
          <w:szCs w:val="24"/>
        </w:rPr>
        <w:t>stablishment</w:t>
      </w:r>
      <w:r w:rsidR="00B92737">
        <w:rPr>
          <w:color w:val="000000" w:themeColor="text1"/>
          <w:sz w:val="24"/>
          <w:szCs w:val="24"/>
        </w:rPr>
        <w:t xml:space="preserve"> C</w:t>
      </w:r>
      <w:r w:rsidR="007C3664">
        <w:rPr>
          <w:color w:val="000000" w:themeColor="text1"/>
          <w:sz w:val="24"/>
          <w:szCs w:val="24"/>
        </w:rPr>
        <w:t xml:space="preserve">ensus, </w:t>
      </w:r>
      <w:r w:rsidR="00FD4BA5">
        <w:rPr>
          <w:color w:val="000000" w:themeColor="text1"/>
          <w:sz w:val="24"/>
          <w:szCs w:val="24"/>
        </w:rPr>
        <w:t>2017</w:t>
      </w:r>
      <w:r w:rsidR="00277A11">
        <w:rPr>
          <w:color w:val="000000" w:themeColor="text1"/>
          <w:sz w:val="24"/>
          <w:szCs w:val="24"/>
        </w:rPr>
        <w:t xml:space="preserve"> and its </w:t>
      </w:r>
      <w:r w:rsidR="00277A11" w:rsidRPr="00277A11">
        <w:rPr>
          <w:color w:val="000000" w:themeColor="text1"/>
          <w:sz w:val="24"/>
          <w:szCs w:val="24"/>
        </w:rPr>
        <w:t>updates</w:t>
      </w:r>
      <w:r w:rsidR="00277A11">
        <w:rPr>
          <w:color w:val="000000" w:themeColor="text1"/>
          <w:sz w:val="24"/>
          <w:szCs w:val="24"/>
        </w:rPr>
        <w:t xml:space="preserve">. </w:t>
      </w:r>
    </w:p>
    <w:p w:rsidR="008618A5" w:rsidRPr="00A72566" w:rsidRDefault="008618A5" w:rsidP="008618A5">
      <w:pPr>
        <w:tabs>
          <w:tab w:val="left" w:pos="142"/>
        </w:tabs>
        <w:ind w:right="1"/>
        <w:jc w:val="both"/>
        <w:rPr>
          <w:color w:val="000000" w:themeColor="text1"/>
          <w:sz w:val="24"/>
          <w:szCs w:val="24"/>
        </w:rPr>
      </w:pPr>
    </w:p>
    <w:p w:rsidR="00405810" w:rsidRPr="00A72566" w:rsidRDefault="008618A5" w:rsidP="00396AB6">
      <w:pPr>
        <w:tabs>
          <w:tab w:val="num" w:pos="0"/>
        </w:tabs>
        <w:autoSpaceDE w:val="0"/>
        <w:autoSpaceDN w:val="0"/>
        <w:adjustRightInd w:val="0"/>
        <w:jc w:val="both"/>
        <w:rPr>
          <w:color w:val="000000" w:themeColor="text1"/>
          <w:sz w:val="24"/>
          <w:szCs w:val="24"/>
        </w:rPr>
      </w:pPr>
      <w:r w:rsidRPr="00A72566">
        <w:rPr>
          <w:color w:val="000000" w:themeColor="text1"/>
          <w:sz w:val="24"/>
          <w:szCs w:val="24"/>
        </w:rPr>
        <w:t xml:space="preserve">The sampling frame for the Foreign Investment Survey </w:t>
      </w:r>
      <w:r w:rsidR="00BC01CB">
        <w:rPr>
          <w:color w:val="000000" w:themeColor="text1"/>
          <w:sz w:val="24"/>
          <w:szCs w:val="24"/>
        </w:rPr>
        <w:t>2018</w:t>
      </w:r>
      <w:r w:rsidRPr="00A72566">
        <w:rPr>
          <w:color w:val="000000" w:themeColor="text1"/>
          <w:sz w:val="24"/>
          <w:szCs w:val="24"/>
        </w:rPr>
        <w:t xml:space="preserve"> comprised two groups: </w:t>
      </w:r>
    </w:p>
    <w:p w:rsidR="00405810" w:rsidRPr="00A72566" w:rsidRDefault="00405810" w:rsidP="00644F0F">
      <w:pPr>
        <w:pStyle w:val="ListParagraph"/>
        <w:numPr>
          <w:ilvl w:val="0"/>
          <w:numId w:val="43"/>
        </w:numPr>
        <w:autoSpaceDE w:val="0"/>
        <w:autoSpaceDN w:val="0"/>
        <w:adjustRightInd w:val="0"/>
        <w:ind w:left="426" w:hanging="284"/>
        <w:jc w:val="both"/>
        <w:rPr>
          <w:color w:val="000000" w:themeColor="text1"/>
          <w:sz w:val="24"/>
          <w:szCs w:val="24"/>
        </w:rPr>
      </w:pPr>
      <w:r w:rsidRPr="00A72566">
        <w:rPr>
          <w:color w:val="000000" w:themeColor="text1"/>
          <w:sz w:val="24"/>
          <w:szCs w:val="24"/>
        </w:rPr>
        <w:t>The</w:t>
      </w:r>
      <w:r w:rsidR="008618A5" w:rsidRPr="00A72566">
        <w:rPr>
          <w:color w:val="000000" w:themeColor="text1"/>
          <w:sz w:val="24"/>
          <w:szCs w:val="24"/>
        </w:rPr>
        <w:t xml:space="preserve"> first group included non-financial enterprises and financial enterprises (other than banks), located in </w:t>
      </w:r>
      <w:r w:rsidR="00CB5E87" w:rsidRPr="00A72566">
        <w:rPr>
          <w:color w:val="000000" w:themeColor="text1"/>
          <w:sz w:val="24"/>
          <w:szCs w:val="24"/>
        </w:rPr>
        <w:t xml:space="preserve">the </w:t>
      </w:r>
      <w:r w:rsidR="008618A5" w:rsidRPr="00A72566">
        <w:rPr>
          <w:color w:val="000000" w:themeColor="text1"/>
          <w:sz w:val="24"/>
          <w:szCs w:val="24"/>
        </w:rPr>
        <w:t xml:space="preserve">West Bank and Gaza Strip; PCBS carried out the collection of relevant data pertaining to </w:t>
      </w:r>
      <w:r w:rsidR="00CB5E87" w:rsidRPr="00A72566">
        <w:rPr>
          <w:color w:val="000000" w:themeColor="text1"/>
          <w:sz w:val="24"/>
          <w:szCs w:val="24"/>
        </w:rPr>
        <w:t>those</w:t>
      </w:r>
      <w:r w:rsidR="008618A5" w:rsidRPr="00A72566">
        <w:rPr>
          <w:color w:val="000000" w:themeColor="text1"/>
          <w:sz w:val="24"/>
          <w:szCs w:val="24"/>
        </w:rPr>
        <w:t xml:space="preserve"> enterprises.</w:t>
      </w:r>
    </w:p>
    <w:p w:rsidR="00405810" w:rsidRPr="00A72566" w:rsidRDefault="008618A5" w:rsidP="00644F0F">
      <w:pPr>
        <w:pStyle w:val="ListParagraph"/>
        <w:numPr>
          <w:ilvl w:val="0"/>
          <w:numId w:val="43"/>
        </w:numPr>
        <w:autoSpaceDE w:val="0"/>
        <w:autoSpaceDN w:val="0"/>
        <w:adjustRightInd w:val="0"/>
        <w:ind w:left="426" w:hanging="284"/>
        <w:jc w:val="both"/>
        <w:rPr>
          <w:color w:val="000000" w:themeColor="text1"/>
          <w:sz w:val="24"/>
          <w:szCs w:val="24"/>
        </w:rPr>
      </w:pPr>
      <w:r w:rsidRPr="00A72566">
        <w:rPr>
          <w:color w:val="000000" w:themeColor="text1"/>
          <w:sz w:val="24"/>
          <w:szCs w:val="24"/>
        </w:rPr>
        <w:t xml:space="preserve">The second group included banks in </w:t>
      </w:r>
      <w:r w:rsidR="00CB5E87" w:rsidRPr="00A72566">
        <w:rPr>
          <w:color w:val="000000" w:themeColor="text1"/>
          <w:sz w:val="24"/>
          <w:szCs w:val="24"/>
        </w:rPr>
        <w:t xml:space="preserve">the </w:t>
      </w:r>
      <w:r w:rsidRPr="00A72566">
        <w:rPr>
          <w:color w:val="000000" w:themeColor="text1"/>
          <w:sz w:val="24"/>
          <w:szCs w:val="24"/>
        </w:rPr>
        <w:t xml:space="preserve">West Bank and Gaza Strip, and the Palestine Monetary Authority conducted data collection from banks. </w:t>
      </w:r>
    </w:p>
    <w:p w:rsidR="00644F0F" w:rsidRPr="00644F0F" w:rsidRDefault="00644F0F" w:rsidP="00944193">
      <w:pPr>
        <w:tabs>
          <w:tab w:val="num" w:pos="0"/>
        </w:tabs>
        <w:autoSpaceDE w:val="0"/>
        <w:autoSpaceDN w:val="0"/>
        <w:adjustRightInd w:val="0"/>
        <w:jc w:val="both"/>
        <w:rPr>
          <w:color w:val="000000" w:themeColor="text1"/>
          <w:sz w:val="18"/>
          <w:szCs w:val="18"/>
        </w:rPr>
      </w:pPr>
    </w:p>
    <w:p w:rsidR="00564750" w:rsidRPr="00A72566" w:rsidRDefault="008618A5" w:rsidP="00944193">
      <w:pPr>
        <w:tabs>
          <w:tab w:val="num" w:pos="0"/>
        </w:tabs>
        <w:autoSpaceDE w:val="0"/>
        <w:autoSpaceDN w:val="0"/>
        <w:adjustRightInd w:val="0"/>
        <w:jc w:val="both"/>
        <w:rPr>
          <w:color w:val="000000" w:themeColor="text1"/>
          <w:sz w:val="24"/>
          <w:szCs w:val="24"/>
        </w:rPr>
      </w:pPr>
      <w:r w:rsidRPr="00A72566">
        <w:rPr>
          <w:color w:val="000000" w:themeColor="text1"/>
          <w:sz w:val="24"/>
          <w:szCs w:val="24"/>
        </w:rPr>
        <w:t>The total sampl</w:t>
      </w:r>
      <w:r w:rsidR="004970DC" w:rsidRPr="00A72566">
        <w:rPr>
          <w:color w:val="000000" w:themeColor="text1"/>
          <w:sz w:val="24"/>
          <w:szCs w:val="24"/>
        </w:rPr>
        <w:t xml:space="preserve">ing frame size of Foreign Investment Survey </w:t>
      </w:r>
      <w:r w:rsidR="00BC01CB">
        <w:rPr>
          <w:color w:val="000000" w:themeColor="text1"/>
          <w:sz w:val="24"/>
          <w:szCs w:val="24"/>
        </w:rPr>
        <w:t>2018</w:t>
      </w:r>
      <w:r w:rsidRPr="00A72566">
        <w:rPr>
          <w:color w:val="000000" w:themeColor="text1"/>
          <w:sz w:val="24"/>
          <w:szCs w:val="24"/>
        </w:rPr>
        <w:t xml:space="preserve"> in the West Bank and Gaza Strip was </w:t>
      </w:r>
      <w:r w:rsidR="00396AB6">
        <w:rPr>
          <w:color w:val="000000" w:themeColor="text1"/>
          <w:sz w:val="24"/>
          <w:szCs w:val="24"/>
        </w:rPr>
        <w:t>13</w:t>
      </w:r>
      <w:r w:rsidR="00944193">
        <w:rPr>
          <w:color w:val="000000" w:themeColor="text1"/>
          <w:sz w:val="24"/>
          <w:szCs w:val="24"/>
        </w:rPr>
        <w:t>0</w:t>
      </w:r>
      <w:r w:rsidRPr="00A72566">
        <w:rPr>
          <w:color w:val="000000" w:themeColor="text1"/>
          <w:sz w:val="24"/>
          <w:szCs w:val="24"/>
        </w:rPr>
        <w:t xml:space="preserve"> (</w:t>
      </w:r>
      <w:r w:rsidR="00422DCD" w:rsidRPr="00A72566">
        <w:rPr>
          <w:color w:val="000000" w:themeColor="text1"/>
          <w:sz w:val="24"/>
          <w:szCs w:val="24"/>
        </w:rPr>
        <w:t>15</w:t>
      </w:r>
      <w:r w:rsidRPr="00A72566">
        <w:rPr>
          <w:color w:val="000000" w:themeColor="text1"/>
          <w:sz w:val="24"/>
          <w:szCs w:val="24"/>
        </w:rPr>
        <w:t xml:space="preserve"> banks, </w:t>
      </w:r>
      <w:r w:rsidR="007061D3" w:rsidRPr="00A72566">
        <w:rPr>
          <w:color w:val="000000" w:themeColor="text1"/>
          <w:sz w:val="24"/>
          <w:szCs w:val="24"/>
        </w:rPr>
        <w:t xml:space="preserve">and </w:t>
      </w:r>
      <w:r w:rsidR="00396AB6">
        <w:rPr>
          <w:color w:val="000000" w:themeColor="text1"/>
          <w:sz w:val="24"/>
          <w:szCs w:val="24"/>
        </w:rPr>
        <w:t>11</w:t>
      </w:r>
      <w:r w:rsidR="00944193">
        <w:rPr>
          <w:color w:val="000000" w:themeColor="text1"/>
          <w:sz w:val="24"/>
          <w:szCs w:val="24"/>
        </w:rPr>
        <w:t>5 enterprises other than banks), w</w:t>
      </w:r>
      <w:r w:rsidR="00944193" w:rsidRPr="00944193">
        <w:rPr>
          <w:color w:val="000000" w:themeColor="text1"/>
          <w:sz w:val="24"/>
          <w:szCs w:val="24"/>
        </w:rPr>
        <w:t>ith a response rate of 100%</w:t>
      </w:r>
      <w:r w:rsidR="00944193">
        <w:rPr>
          <w:color w:val="000000" w:themeColor="text1"/>
          <w:sz w:val="24"/>
          <w:szCs w:val="24"/>
        </w:rPr>
        <w:t>.</w:t>
      </w:r>
    </w:p>
    <w:p w:rsidR="00405810" w:rsidRPr="00A72566" w:rsidRDefault="00405810" w:rsidP="00405810">
      <w:pPr>
        <w:tabs>
          <w:tab w:val="num" w:pos="0"/>
        </w:tabs>
        <w:autoSpaceDE w:val="0"/>
        <w:autoSpaceDN w:val="0"/>
        <w:adjustRightInd w:val="0"/>
        <w:jc w:val="both"/>
        <w:rPr>
          <w:color w:val="000000" w:themeColor="text1"/>
          <w:sz w:val="24"/>
          <w:szCs w:val="24"/>
        </w:rPr>
      </w:pPr>
    </w:p>
    <w:p w:rsidR="00405810" w:rsidRPr="00A72566" w:rsidRDefault="00405810" w:rsidP="00405810">
      <w:pPr>
        <w:tabs>
          <w:tab w:val="num" w:pos="0"/>
        </w:tabs>
        <w:autoSpaceDE w:val="0"/>
        <w:autoSpaceDN w:val="0"/>
        <w:adjustRightInd w:val="0"/>
        <w:jc w:val="both"/>
        <w:rPr>
          <w:b/>
          <w:bCs/>
          <w:color w:val="000000" w:themeColor="text1"/>
          <w:sz w:val="24"/>
          <w:szCs w:val="24"/>
        </w:rPr>
      </w:pPr>
      <w:r w:rsidRPr="00A72566">
        <w:rPr>
          <w:b/>
          <w:bCs/>
          <w:color w:val="222222"/>
          <w:sz w:val="24"/>
          <w:szCs w:val="24"/>
        </w:rPr>
        <w:t>Enterprises whose data were collected by the Palestinian Central Bureau of Statistics</w:t>
      </w:r>
      <w:r w:rsidRPr="00A72566">
        <w:rPr>
          <w:b/>
          <w:bCs/>
          <w:color w:val="000000" w:themeColor="text1"/>
          <w:sz w:val="24"/>
          <w:szCs w:val="24"/>
        </w:rPr>
        <w:t>:</w:t>
      </w:r>
    </w:p>
    <w:p w:rsidR="00405810" w:rsidRPr="00464550" w:rsidRDefault="00405810" w:rsidP="00944193">
      <w:pPr>
        <w:autoSpaceDE w:val="0"/>
        <w:autoSpaceDN w:val="0"/>
        <w:adjustRightInd w:val="0"/>
        <w:jc w:val="both"/>
        <w:rPr>
          <w:color w:val="000000" w:themeColor="text1"/>
          <w:sz w:val="24"/>
          <w:szCs w:val="24"/>
        </w:rPr>
      </w:pPr>
      <w:r w:rsidRPr="00464550">
        <w:rPr>
          <w:color w:val="000000" w:themeColor="text1"/>
          <w:sz w:val="24"/>
          <w:szCs w:val="24"/>
        </w:rPr>
        <w:t>The size of the sampling frame</w:t>
      </w:r>
      <w:r w:rsidR="00B55CE3" w:rsidRPr="00464550">
        <w:rPr>
          <w:color w:val="000000" w:themeColor="text1"/>
          <w:sz w:val="24"/>
          <w:szCs w:val="24"/>
        </w:rPr>
        <w:t xml:space="preserve"> of this group</w:t>
      </w:r>
      <w:r w:rsidRPr="00464550">
        <w:rPr>
          <w:color w:val="000000" w:themeColor="text1"/>
          <w:sz w:val="24"/>
          <w:szCs w:val="24"/>
        </w:rPr>
        <w:t xml:space="preserve"> in the West Bank was </w:t>
      </w:r>
      <w:r w:rsidR="00944193">
        <w:rPr>
          <w:color w:val="000000" w:themeColor="text1"/>
          <w:sz w:val="24"/>
          <w:szCs w:val="24"/>
        </w:rPr>
        <w:t>65</w:t>
      </w:r>
      <w:r w:rsidR="004970DC" w:rsidRPr="00464550">
        <w:rPr>
          <w:color w:val="000000" w:themeColor="text1"/>
          <w:sz w:val="24"/>
          <w:szCs w:val="24"/>
        </w:rPr>
        <w:t xml:space="preserve"> enterprises</w:t>
      </w:r>
      <w:r w:rsidRPr="00464550">
        <w:rPr>
          <w:color w:val="000000" w:themeColor="text1"/>
          <w:sz w:val="24"/>
          <w:szCs w:val="24"/>
        </w:rPr>
        <w:t xml:space="preserve">, whereas in the Gaza Strip it was </w:t>
      </w:r>
      <w:r w:rsidR="00396AB6" w:rsidRPr="00464550">
        <w:rPr>
          <w:color w:val="000000" w:themeColor="text1"/>
          <w:sz w:val="24"/>
          <w:szCs w:val="24"/>
        </w:rPr>
        <w:t>50</w:t>
      </w:r>
      <w:r w:rsidRPr="00464550">
        <w:rPr>
          <w:color w:val="000000" w:themeColor="text1"/>
          <w:sz w:val="24"/>
          <w:szCs w:val="24"/>
        </w:rPr>
        <w:t xml:space="preserve"> enterprises</w:t>
      </w:r>
      <w:r w:rsidR="00B55CE3" w:rsidRPr="00464550">
        <w:rPr>
          <w:color w:val="000000" w:themeColor="text1"/>
          <w:sz w:val="24"/>
          <w:szCs w:val="24"/>
        </w:rPr>
        <w:t xml:space="preserve"> in </w:t>
      </w:r>
      <w:r w:rsidR="00FD4BA5">
        <w:rPr>
          <w:color w:val="000000" w:themeColor="text1"/>
          <w:sz w:val="24"/>
          <w:szCs w:val="24"/>
        </w:rPr>
        <w:t>2018</w:t>
      </w:r>
      <w:r w:rsidRPr="00464550">
        <w:rPr>
          <w:color w:val="000000" w:themeColor="text1"/>
          <w:sz w:val="24"/>
          <w:szCs w:val="24"/>
        </w:rPr>
        <w:t xml:space="preserve">. </w:t>
      </w:r>
      <w:r w:rsidR="00464550">
        <w:rPr>
          <w:color w:val="000000" w:themeColor="text1"/>
          <w:sz w:val="24"/>
          <w:szCs w:val="24"/>
        </w:rPr>
        <w:t xml:space="preserve"> </w:t>
      </w:r>
      <w:r w:rsidR="00464550" w:rsidRPr="00464550">
        <w:rPr>
          <w:color w:val="000000" w:themeColor="text1"/>
          <w:sz w:val="24"/>
          <w:szCs w:val="24"/>
        </w:rPr>
        <w:t xml:space="preserve">according to the Establishment Census, </w:t>
      </w:r>
      <w:r w:rsidR="00FD4BA5">
        <w:rPr>
          <w:color w:val="000000" w:themeColor="text1"/>
          <w:sz w:val="24"/>
          <w:szCs w:val="24"/>
        </w:rPr>
        <w:t>2017</w:t>
      </w:r>
      <w:r w:rsidR="00277A11">
        <w:rPr>
          <w:color w:val="000000" w:themeColor="text1"/>
          <w:sz w:val="24"/>
          <w:szCs w:val="24"/>
        </w:rPr>
        <w:t xml:space="preserve"> and its </w:t>
      </w:r>
      <w:r w:rsidR="00277A11" w:rsidRPr="00277A11">
        <w:rPr>
          <w:color w:val="000000" w:themeColor="text1"/>
          <w:sz w:val="24"/>
          <w:szCs w:val="24"/>
        </w:rPr>
        <w:t>updates</w:t>
      </w:r>
      <w:r w:rsidR="00464550" w:rsidRPr="00464550">
        <w:rPr>
          <w:color w:val="000000" w:themeColor="text1"/>
          <w:sz w:val="24"/>
          <w:szCs w:val="24"/>
        </w:rPr>
        <w:t>.</w:t>
      </w:r>
    </w:p>
    <w:p w:rsidR="00464550" w:rsidRPr="00A72566" w:rsidRDefault="00464550" w:rsidP="00464550">
      <w:pPr>
        <w:pStyle w:val="ListParagraph"/>
        <w:autoSpaceDE w:val="0"/>
        <w:autoSpaceDN w:val="0"/>
        <w:adjustRightInd w:val="0"/>
        <w:ind w:left="426"/>
        <w:jc w:val="both"/>
        <w:rPr>
          <w:color w:val="000000" w:themeColor="text1"/>
          <w:sz w:val="24"/>
          <w:szCs w:val="24"/>
        </w:rPr>
      </w:pPr>
    </w:p>
    <w:p w:rsidR="00405810" w:rsidRPr="00A72566" w:rsidRDefault="00405810" w:rsidP="00405810">
      <w:pPr>
        <w:tabs>
          <w:tab w:val="num" w:pos="0"/>
        </w:tabs>
        <w:autoSpaceDE w:val="0"/>
        <w:autoSpaceDN w:val="0"/>
        <w:adjustRightInd w:val="0"/>
        <w:jc w:val="both"/>
        <w:rPr>
          <w:b/>
          <w:bCs/>
          <w:color w:val="000000" w:themeColor="text1"/>
          <w:sz w:val="24"/>
          <w:szCs w:val="24"/>
        </w:rPr>
      </w:pPr>
      <w:r w:rsidRPr="00A72566">
        <w:rPr>
          <w:b/>
          <w:bCs/>
          <w:color w:val="222222"/>
          <w:sz w:val="24"/>
          <w:szCs w:val="24"/>
        </w:rPr>
        <w:t xml:space="preserve">Enterprises whose data were collected by </w:t>
      </w:r>
      <w:r w:rsidR="004970DC" w:rsidRPr="00A72566">
        <w:rPr>
          <w:b/>
          <w:bCs/>
          <w:color w:val="222222"/>
          <w:sz w:val="24"/>
          <w:szCs w:val="24"/>
        </w:rPr>
        <w:t xml:space="preserve">the </w:t>
      </w:r>
      <w:r w:rsidRPr="00A72566">
        <w:rPr>
          <w:b/>
          <w:bCs/>
          <w:color w:val="222222"/>
          <w:sz w:val="24"/>
          <w:szCs w:val="24"/>
        </w:rPr>
        <w:t>Palestine Monetary Authority</w:t>
      </w:r>
      <w:r w:rsidRPr="00A72566">
        <w:rPr>
          <w:b/>
          <w:bCs/>
          <w:color w:val="000000" w:themeColor="text1"/>
          <w:sz w:val="24"/>
          <w:szCs w:val="24"/>
        </w:rPr>
        <w:t>:</w:t>
      </w:r>
    </w:p>
    <w:p w:rsidR="00405810" w:rsidRPr="00A72566" w:rsidRDefault="00405810" w:rsidP="004970DC">
      <w:pPr>
        <w:autoSpaceDE w:val="0"/>
        <w:autoSpaceDN w:val="0"/>
        <w:adjustRightInd w:val="0"/>
        <w:jc w:val="both"/>
        <w:rPr>
          <w:color w:val="000000" w:themeColor="text1"/>
          <w:sz w:val="24"/>
          <w:szCs w:val="24"/>
        </w:rPr>
      </w:pPr>
      <w:r w:rsidRPr="00A72566">
        <w:rPr>
          <w:color w:val="000000" w:themeColor="text1"/>
          <w:sz w:val="24"/>
          <w:szCs w:val="24"/>
        </w:rPr>
        <w:t>The survey frame included all banks operating in Palestine</w:t>
      </w:r>
      <w:r w:rsidR="004970DC" w:rsidRPr="00A72566">
        <w:rPr>
          <w:color w:val="000000" w:themeColor="text1"/>
          <w:sz w:val="24"/>
          <w:szCs w:val="24"/>
        </w:rPr>
        <w:t xml:space="preserve"> (15 banks).  The data </w:t>
      </w:r>
      <w:r w:rsidRPr="00A72566">
        <w:rPr>
          <w:color w:val="000000" w:themeColor="text1"/>
          <w:sz w:val="24"/>
          <w:szCs w:val="24"/>
        </w:rPr>
        <w:t xml:space="preserve">were collected through the administrative records available </w:t>
      </w:r>
      <w:r w:rsidR="004970DC" w:rsidRPr="00A72566">
        <w:rPr>
          <w:color w:val="000000" w:themeColor="text1"/>
          <w:sz w:val="24"/>
          <w:szCs w:val="24"/>
        </w:rPr>
        <w:t>in</w:t>
      </w:r>
      <w:r w:rsidRPr="00A72566">
        <w:rPr>
          <w:color w:val="000000" w:themeColor="text1"/>
          <w:sz w:val="24"/>
          <w:szCs w:val="24"/>
        </w:rPr>
        <w:t xml:space="preserve"> the Palestin</w:t>
      </w:r>
      <w:r w:rsidR="004970DC" w:rsidRPr="00A72566">
        <w:rPr>
          <w:color w:val="000000" w:themeColor="text1"/>
          <w:sz w:val="24"/>
          <w:szCs w:val="24"/>
        </w:rPr>
        <w:t>e</w:t>
      </w:r>
      <w:r w:rsidRPr="00A72566">
        <w:rPr>
          <w:color w:val="000000" w:themeColor="text1"/>
          <w:sz w:val="24"/>
          <w:szCs w:val="24"/>
        </w:rPr>
        <w:t xml:space="preserve"> Monetary Authority.</w:t>
      </w:r>
    </w:p>
    <w:p w:rsidR="00405810" w:rsidRPr="00A72566" w:rsidRDefault="00C26550" w:rsidP="00C26550">
      <w:pPr>
        <w:autoSpaceDE w:val="0"/>
        <w:autoSpaceDN w:val="0"/>
        <w:adjustRightInd w:val="0"/>
        <w:jc w:val="both"/>
        <w:rPr>
          <w:color w:val="000000" w:themeColor="text1"/>
          <w:sz w:val="24"/>
          <w:szCs w:val="24"/>
        </w:rPr>
      </w:pPr>
      <w:r w:rsidRPr="00A72566">
        <w:rPr>
          <w:color w:val="000000" w:themeColor="text1"/>
          <w:sz w:val="24"/>
          <w:szCs w:val="24"/>
        </w:rPr>
        <w:t>The mechanism in which banks' data were collected is as follows:</w:t>
      </w:r>
    </w:p>
    <w:p w:rsidR="00C26550" w:rsidRPr="00A72566" w:rsidRDefault="00C26550" w:rsidP="00A27CD1">
      <w:pPr>
        <w:pStyle w:val="ListParagraph"/>
        <w:numPr>
          <w:ilvl w:val="0"/>
          <w:numId w:val="47"/>
        </w:numPr>
        <w:autoSpaceDE w:val="0"/>
        <w:autoSpaceDN w:val="0"/>
        <w:adjustRightInd w:val="0"/>
        <w:ind w:left="426" w:hanging="284"/>
        <w:jc w:val="both"/>
        <w:rPr>
          <w:color w:val="000000" w:themeColor="text1"/>
          <w:sz w:val="24"/>
          <w:szCs w:val="24"/>
        </w:rPr>
      </w:pPr>
      <w:r w:rsidRPr="00A72566">
        <w:rPr>
          <w:color w:val="000000" w:themeColor="text1"/>
          <w:sz w:val="24"/>
          <w:szCs w:val="24"/>
        </w:rPr>
        <w:t>Investments in Palestine: Preliminary data were obtained from the Supervision and Inspection department in the Palestine Monetary Authority, the financial report of the Palestin</w:t>
      </w:r>
      <w:r w:rsidR="003C7695" w:rsidRPr="00A72566">
        <w:rPr>
          <w:color w:val="000000" w:themeColor="text1"/>
          <w:sz w:val="24"/>
          <w:szCs w:val="24"/>
        </w:rPr>
        <w:t>e</w:t>
      </w:r>
      <w:r w:rsidRPr="00A72566">
        <w:rPr>
          <w:color w:val="000000" w:themeColor="text1"/>
          <w:sz w:val="24"/>
          <w:szCs w:val="24"/>
        </w:rPr>
        <w:t xml:space="preserve"> Monetary Authority</w:t>
      </w:r>
      <w:r w:rsidR="004970DC" w:rsidRPr="00A72566">
        <w:rPr>
          <w:color w:val="000000" w:themeColor="text1"/>
          <w:sz w:val="24"/>
          <w:szCs w:val="24"/>
        </w:rPr>
        <w:t xml:space="preserve">, </w:t>
      </w:r>
      <w:r w:rsidRPr="00A72566">
        <w:rPr>
          <w:color w:val="000000" w:themeColor="text1"/>
          <w:sz w:val="24"/>
          <w:szCs w:val="24"/>
        </w:rPr>
        <w:t xml:space="preserve">and the Palestine Exchange reports. the data were sorted by country from which the investment flows, and </w:t>
      </w:r>
      <w:r w:rsidR="004970DC" w:rsidRPr="00A72566">
        <w:rPr>
          <w:color w:val="000000" w:themeColor="text1"/>
          <w:sz w:val="24"/>
          <w:szCs w:val="24"/>
        </w:rPr>
        <w:t xml:space="preserve">by </w:t>
      </w:r>
      <w:r w:rsidRPr="00A72566">
        <w:rPr>
          <w:color w:val="000000" w:themeColor="text1"/>
          <w:sz w:val="24"/>
          <w:szCs w:val="24"/>
        </w:rPr>
        <w:t>type of investment.</w:t>
      </w:r>
    </w:p>
    <w:p w:rsidR="00C26550" w:rsidRPr="00A72566" w:rsidRDefault="00C26550" w:rsidP="00A27CD1">
      <w:pPr>
        <w:pStyle w:val="ListParagraph"/>
        <w:numPr>
          <w:ilvl w:val="0"/>
          <w:numId w:val="47"/>
        </w:numPr>
        <w:autoSpaceDE w:val="0"/>
        <w:autoSpaceDN w:val="0"/>
        <w:adjustRightInd w:val="0"/>
        <w:ind w:left="426" w:hanging="284"/>
        <w:jc w:val="both"/>
        <w:rPr>
          <w:color w:val="000000" w:themeColor="text1"/>
          <w:sz w:val="24"/>
          <w:szCs w:val="24"/>
          <w:rtl/>
        </w:rPr>
      </w:pPr>
      <w:r w:rsidRPr="00A72566">
        <w:rPr>
          <w:color w:val="000000" w:themeColor="text1"/>
          <w:sz w:val="24"/>
          <w:szCs w:val="24"/>
        </w:rPr>
        <w:lastRenderedPageBreak/>
        <w:t xml:space="preserve">Investments outside Palestine: obtained through the </w:t>
      </w:r>
      <w:r w:rsidR="004970DC" w:rsidRPr="00A72566">
        <w:rPr>
          <w:color w:val="000000" w:themeColor="text1"/>
          <w:sz w:val="24"/>
          <w:szCs w:val="24"/>
        </w:rPr>
        <w:t>balance sheets</w:t>
      </w:r>
      <w:r w:rsidRPr="00A72566">
        <w:rPr>
          <w:color w:val="000000" w:themeColor="text1"/>
          <w:sz w:val="24"/>
          <w:szCs w:val="24"/>
        </w:rPr>
        <w:t xml:space="preserve"> of banks operating in Palestine (Call Report), </w:t>
      </w:r>
      <w:r w:rsidR="004970DC" w:rsidRPr="00A72566">
        <w:rPr>
          <w:color w:val="000000" w:themeColor="text1"/>
          <w:sz w:val="24"/>
          <w:szCs w:val="24"/>
        </w:rPr>
        <w:t>which</w:t>
      </w:r>
      <w:r w:rsidRPr="00A72566">
        <w:rPr>
          <w:color w:val="000000" w:themeColor="text1"/>
          <w:sz w:val="24"/>
          <w:szCs w:val="24"/>
        </w:rPr>
        <w:t xml:space="preserve"> are prepared by the Supervision and Inspection department. The investments of banks outside were </w:t>
      </w:r>
      <w:r w:rsidR="004970DC" w:rsidRPr="00A72566">
        <w:rPr>
          <w:color w:val="000000" w:themeColor="text1"/>
          <w:sz w:val="24"/>
          <w:szCs w:val="24"/>
        </w:rPr>
        <w:t>sorted</w:t>
      </w:r>
      <w:r w:rsidRPr="00A72566">
        <w:rPr>
          <w:color w:val="000000" w:themeColor="text1"/>
          <w:sz w:val="24"/>
          <w:szCs w:val="24"/>
        </w:rPr>
        <w:t xml:space="preserve"> by country, and </w:t>
      </w:r>
      <w:r w:rsidR="00DB1E08" w:rsidRPr="00A72566">
        <w:rPr>
          <w:color w:val="000000" w:themeColor="text1"/>
          <w:sz w:val="24"/>
          <w:szCs w:val="24"/>
        </w:rPr>
        <w:t xml:space="preserve">by </w:t>
      </w:r>
      <w:r w:rsidRPr="00A72566">
        <w:rPr>
          <w:color w:val="000000" w:themeColor="text1"/>
          <w:sz w:val="24"/>
          <w:szCs w:val="24"/>
        </w:rPr>
        <w:t>type of investment. Data on investments of the Palestine Monetary Authority and reserve assets were obtained from the financial reports of PMA.</w:t>
      </w:r>
    </w:p>
    <w:p w:rsidR="00564750" w:rsidRPr="00CB5136" w:rsidRDefault="00564750" w:rsidP="00CB5136">
      <w:pPr>
        <w:pStyle w:val="Heading1"/>
        <w:jc w:val="both"/>
        <w:rPr>
          <w:rFonts w:cs="Times New Roman"/>
          <w:color w:val="000000" w:themeColor="text1"/>
        </w:rPr>
      </w:pPr>
    </w:p>
    <w:p w:rsidR="00564750" w:rsidRPr="00CB5136" w:rsidRDefault="00CB5136" w:rsidP="00CB5136">
      <w:pPr>
        <w:pStyle w:val="Heading1"/>
        <w:jc w:val="both"/>
        <w:rPr>
          <w:rFonts w:cs="Times New Roman"/>
          <w:color w:val="000000" w:themeColor="text1"/>
        </w:rPr>
      </w:pPr>
      <w:r w:rsidRPr="00CB5136">
        <w:rPr>
          <w:rFonts w:cs="Times New Roman"/>
          <w:color w:val="000000" w:themeColor="text1"/>
        </w:rPr>
        <w:t>3.4</w:t>
      </w:r>
      <w:r>
        <w:rPr>
          <w:rFonts w:cs="Times New Roman"/>
          <w:color w:val="000000" w:themeColor="text1"/>
        </w:rPr>
        <w:t xml:space="preserve">  </w:t>
      </w:r>
      <w:r w:rsidR="00D43551" w:rsidRPr="00CB5136">
        <w:rPr>
          <w:rFonts w:cs="Times New Roman"/>
          <w:color w:val="000000" w:themeColor="text1"/>
        </w:rPr>
        <w:t>Fieldw</w:t>
      </w:r>
      <w:r w:rsidR="00564750" w:rsidRPr="00CB5136">
        <w:rPr>
          <w:rFonts w:cs="Times New Roman"/>
          <w:color w:val="000000" w:themeColor="text1"/>
        </w:rPr>
        <w:t>ork Operations</w:t>
      </w:r>
    </w:p>
    <w:p w:rsidR="00A72566" w:rsidRPr="00A72566" w:rsidRDefault="00A72566" w:rsidP="00A72566">
      <w:pPr>
        <w:tabs>
          <w:tab w:val="num" w:pos="0"/>
        </w:tabs>
        <w:ind w:left="360" w:right="600"/>
        <w:jc w:val="both"/>
        <w:rPr>
          <w:b/>
          <w:bCs/>
          <w:color w:val="000000" w:themeColor="text1"/>
          <w:sz w:val="16"/>
          <w:szCs w:val="16"/>
        </w:rPr>
      </w:pPr>
    </w:p>
    <w:p w:rsidR="008618A5" w:rsidRPr="00A72566" w:rsidRDefault="00422DCD" w:rsidP="00422DCD">
      <w:pPr>
        <w:pStyle w:val="Heading1"/>
        <w:jc w:val="both"/>
        <w:rPr>
          <w:rFonts w:cs="Times New Roman"/>
          <w:color w:val="000000" w:themeColor="text1"/>
        </w:rPr>
      </w:pPr>
      <w:r w:rsidRPr="00A72566">
        <w:rPr>
          <w:rFonts w:cs="Times New Roman"/>
          <w:color w:val="000000" w:themeColor="text1"/>
        </w:rPr>
        <w:t>3.4.1</w:t>
      </w:r>
      <w:r w:rsidR="008618A5" w:rsidRPr="00A72566">
        <w:rPr>
          <w:rFonts w:cs="Times New Roman"/>
          <w:b w:val="0"/>
          <w:bCs w:val="0"/>
          <w:color w:val="000000" w:themeColor="text1"/>
        </w:rPr>
        <w:t xml:space="preserve"> </w:t>
      </w:r>
      <w:r w:rsidRPr="00A72566">
        <w:rPr>
          <w:rFonts w:cs="Times New Roman"/>
          <w:color w:val="000000" w:themeColor="text1"/>
        </w:rPr>
        <w:t>Training and Hiring</w:t>
      </w:r>
    </w:p>
    <w:p w:rsidR="008618A5" w:rsidRPr="00A72566" w:rsidRDefault="008618A5" w:rsidP="00644F0F">
      <w:pPr>
        <w:pStyle w:val="BodyTextIndent2"/>
        <w:numPr>
          <w:ilvl w:val="0"/>
          <w:numId w:val="26"/>
        </w:numPr>
        <w:tabs>
          <w:tab w:val="clear" w:pos="502"/>
        </w:tabs>
        <w:ind w:left="426" w:right="1" w:hanging="284"/>
        <w:jc w:val="both"/>
        <w:rPr>
          <w:rFonts w:cs="Times New Roman"/>
          <w:color w:val="000000" w:themeColor="text1"/>
          <w:szCs w:val="24"/>
        </w:rPr>
      </w:pPr>
      <w:r w:rsidRPr="00A72566">
        <w:rPr>
          <w:rFonts w:cs="Times New Roman"/>
          <w:color w:val="000000" w:themeColor="text1"/>
          <w:szCs w:val="24"/>
        </w:rPr>
        <w:t xml:space="preserve">A specialized field work team with a background in economics was selected and trained theoretically and practically on </w:t>
      </w:r>
      <w:r w:rsidR="002E2EAB" w:rsidRPr="00A72566">
        <w:rPr>
          <w:rFonts w:cs="Times New Roman"/>
          <w:color w:val="000000" w:themeColor="text1"/>
          <w:szCs w:val="24"/>
        </w:rPr>
        <w:t xml:space="preserve">survey's </w:t>
      </w:r>
      <w:r w:rsidRPr="00A72566">
        <w:rPr>
          <w:rFonts w:cs="Times New Roman"/>
          <w:color w:val="000000" w:themeColor="text1"/>
          <w:szCs w:val="24"/>
        </w:rPr>
        <w:t>questionnaire.</w:t>
      </w:r>
    </w:p>
    <w:p w:rsidR="00150DCC" w:rsidRPr="00A72566" w:rsidRDefault="00150DCC" w:rsidP="002F0DC0">
      <w:pPr>
        <w:pStyle w:val="BodyTextIndent2"/>
        <w:numPr>
          <w:ilvl w:val="0"/>
          <w:numId w:val="26"/>
        </w:numPr>
        <w:ind w:left="426" w:right="1" w:hanging="284"/>
        <w:jc w:val="both"/>
        <w:rPr>
          <w:rFonts w:cs="Times New Roman"/>
          <w:color w:val="000000" w:themeColor="text1"/>
          <w:szCs w:val="24"/>
        </w:rPr>
      </w:pPr>
      <w:r w:rsidRPr="00A72566">
        <w:rPr>
          <w:rFonts w:cs="Times New Roman"/>
          <w:color w:val="000000" w:themeColor="text1"/>
          <w:szCs w:val="24"/>
        </w:rPr>
        <w:t xml:space="preserve">The field work team was examined at the end of the training </w:t>
      </w:r>
      <w:r w:rsidR="007B6993" w:rsidRPr="00A72566">
        <w:rPr>
          <w:rFonts w:cs="Times New Roman"/>
          <w:color w:val="000000" w:themeColor="text1"/>
          <w:szCs w:val="24"/>
        </w:rPr>
        <w:t>course.</w:t>
      </w:r>
    </w:p>
    <w:p w:rsidR="008618A5" w:rsidRPr="00A72566" w:rsidRDefault="008618A5" w:rsidP="008618A5">
      <w:pPr>
        <w:pStyle w:val="BodyTextIndent2"/>
        <w:ind w:left="142" w:right="1" w:firstLine="0"/>
        <w:jc w:val="both"/>
        <w:rPr>
          <w:rFonts w:cs="Times New Roman"/>
          <w:color w:val="000000" w:themeColor="text1"/>
          <w:szCs w:val="24"/>
        </w:rPr>
      </w:pPr>
    </w:p>
    <w:p w:rsidR="00422DCD" w:rsidRPr="00A72566" w:rsidRDefault="00422DCD" w:rsidP="008618A5">
      <w:pPr>
        <w:ind w:right="1"/>
        <w:jc w:val="both"/>
        <w:rPr>
          <w:b/>
          <w:bCs/>
          <w:color w:val="000000" w:themeColor="text1"/>
          <w:sz w:val="24"/>
          <w:szCs w:val="24"/>
        </w:rPr>
      </w:pPr>
      <w:r w:rsidRPr="00A72566">
        <w:rPr>
          <w:b/>
          <w:bCs/>
          <w:color w:val="000000" w:themeColor="text1"/>
          <w:sz w:val="24"/>
          <w:szCs w:val="24"/>
        </w:rPr>
        <w:t>3.4.2 Data Collection</w:t>
      </w:r>
    </w:p>
    <w:p w:rsidR="00C45C16" w:rsidRPr="00A72566" w:rsidRDefault="00C45C16" w:rsidP="00CB5E87">
      <w:pPr>
        <w:tabs>
          <w:tab w:val="num" w:pos="0"/>
        </w:tabs>
        <w:autoSpaceDE w:val="0"/>
        <w:autoSpaceDN w:val="0"/>
        <w:adjustRightInd w:val="0"/>
        <w:jc w:val="both"/>
        <w:rPr>
          <w:color w:val="000000" w:themeColor="text1"/>
          <w:sz w:val="24"/>
          <w:szCs w:val="24"/>
        </w:rPr>
      </w:pPr>
      <w:r w:rsidRPr="00A72566">
        <w:rPr>
          <w:color w:val="000000" w:themeColor="text1"/>
          <w:sz w:val="24"/>
          <w:szCs w:val="24"/>
        </w:rPr>
        <w:t>Data was collected by trained fieldworkers through personal interviews with the owners of the enterprises. The collected data should be obtained from the financial reports of th</w:t>
      </w:r>
      <w:r w:rsidR="00CB5E87" w:rsidRPr="00A72566">
        <w:rPr>
          <w:color w:val="000000" w:themeColor="text1"/>
          <w:sz w:val="24"/>
          <w:szCs w:val="24"/>
        </w:rPr>
        <w:t>ose</w:t>
      </w:r>
      <w:r w:rsidRPr="00A72566">
        <w:rPr>
          <w:color w:val="000000" w:themeColor="text1"/>
          <w:sz w:val="24"/>
          <w:szCs w:val="24"/>
        </w:rPr>
        <w:t xml:space="preserve"> enterprises. </w:t>
      </w:r>
    </w:p>
    <w:p w:rsidR="007B6993" w:rsidRPr="00A72566" w:rsidRDefault="007B6993" w:rsidP="008618A5">
      <w:pPr>
        <w:ind w:right="1"/>
        <w:jc w:val="both"/>
        <w:rPr>
          <w:b/>
          <w:bCs/>
          <w:color w:val="000000" w:themeColor="text1"/>
          <w:sz w:val="24"/>
          <w:szCs w:val="24"/>
        </w:rPr>
      </w:pPr>
    </w:p>
    <w:p w:rsidR="00C45C16" w:rsidRPr="00A72566" w:rsidRDefault="00C45C16" w:rsidP="008618A5">
      <w:pPr>
        <w:ind w:right="1"/>
        <w:jc w:val="both"/>
        <w:rPr>
          <w:b/>
          <w:bCs/>
          <w:color w:val="000000" w:themeColor="text1"/>
          <w:sz w:val="24"/>
          <w:szCs w:val="24"/>
        </w:rPr>
      </w:pPr>
      <w:r w:rsidRPr="00A72566">
        <w:rPr>
          <w:b/>
          <w:bCs/>
          <w:color w:val="000000" w:themeColor="text1"/>
          <w:sz w:val="24"/>
          <w:szCs w:val="24"/>
        </w:rPr>
        <w:t>3.4.3 Field Editing and Supervising</w:t>
      </w:r>
    </w:p>
    <w:p w:rsidR="00C45C16" w:rsidRPr="00A72566" w:rsidRDefault="00CB5E87" w:rsidP="00286079">
      <w:pPr>
        <w:pStyle w:val="BodyTextIndent2"/>
        <w:numPr>
          <w:ilvl w:val="0"/>
          <w:numId w:val="26"/>
        </w:numPr>
        <w:tabs>
          <w:tab w:val="num" w:pos="0"/>
        </w:tabs>
        <w:ind w:left="426" w:right="1" w:hanging="284"/>
        <w:jc w:val="both"/>
        <w:rPr>
          <w:rFonts w:cs="Times New Roman"/>
          <w:color w:val="000000" w:themeColor="text1"/>
          <w:szCs w:val="24"/>
        </w:rPr>
      </w:pPr>
      <w:r w:rsidRPr="00A72566">
        <w:rPr>
          <w:rFonts w:cs="Times New Roman"/>
          <w:color w:val="000000" w:themeColor="text1"/>
          <w:szCs w:val="24"/>
        </w:rPr>
        <w:t>The field</w:t>
      </w:r>
      <w:r w:rsidR="00C45C16" w:rsidRPr="00A72566">
        <w:rPr>
          <w:rFonts w:cs="Times New Roman"/>
          <w:color w:val="000000" w:themeColor="text1"/>
          <w:szCs w:val="24"/>
        </w:rPr>
        <w:t xml:space="preserve">work </w:t>
      </w:r>
      <w:r w:rsidR="00A21DED">
        <w:rPr>
          <w:rFonts w:cs="Times New Roman"/>
          <w:color w:val="000000" w:themeColor="text1"/>
          <w:szCs w:val="24"/>
        </w:rPr>
        <w:t>c</w:t>
      </w:r>
      <w:r w:rsidR="00286079">
        <w:rPr>
          <w:rFonts w:cs="Times New Roman"/>
          <w:color w:val="000000" w:themeColor="text1"/>
          <w:szCs w:val="24"/>
        </w:rPr>
        <w:t>oordinator</w:t>
      </w:r>
      <w:r w:rsidR="00C45C16" w:rsidRPr="00A72566">
        <w:rPr>
          <w:rFonts w:cs="Times New Roman"/>
          <w:color w:val="000000" w:themeColor="text1"/>
          <w:szCs w:val="24"/>
        </w:rPr>
        <w:t xml:space="preserve"> in the </w:t>
      </w:r>
      <w:r w:rsidRPr="00A72566">
        <w:rPr>
          <w:rFonts w:cs="Times New Roman"/>
          <w:color w:val="000000" w:themeColor="text1"/>
          <w:szCs w:val="24"/>
        </w:rPr>
        <w:t>P</w:t>
      </w:r>
      <w:r w:rsidR="00C45C16" w:rsidRPr="00A72566">
        <w:rPr>
          <w:rFonts w:cs="Times New Roman"/>
          <w:color w:val="000000" w:themeColor="text1"/>
          <w:szCs w:val="24"/>
        </w:rPr>
        <w:t xml:space="preserve">roject </w:t>
      </w:r>
      <w:r w:rsidRPr="00A72566">
        <w:rPr>
          <w:rFonts w:cs="Times New Roman"/>
          <w:color w:val="000000" w:themeColor="text1"/>
          <w:szCs w:val="24"/>
        </w:rPr>
        <w:t>T</w:t>
      </w:r>
      <w:r w:rsidR="00C45C16" w:rsidRPr="00A72566">
        <w:rPr>
          <w:rFonts w:cs="Times New Roman"/>
          <w:color w:val="000000" w:themeColor="text1"/>
          <w:szCs w:val="24"/>
        </w:rPr>
        <w:t xml:space="preserve">echnical </w:t>
      </w:r>
      <w:r w:rsidRPr="00A72566">
        <w:rPr>
          <w:rFonts w:cs="Times New Roman"/>
          <w:color w:val="000000" w:themeColor="text1"/>
          <w:szCs w:val="24"/>
        </w:rPr>
        <w:t>C</w:t>
      </w:r>
      <w:r w:rsidR="00C45C16" w:rsidRPr="00A72566">
        <w:rPr>
          <w:rFonts w:cs="Times New Roman"/>
          <w:color w:val="000000" w:themeColor="text1"/>
          <w:szCs w:val="24"/>
        </w:rPr>
        <w:t>ommittee provided the project management team with daily reports about completeness and response rates.</w:t>
      </w:r>
    </w:p>
    <w:p w:rsidR="00150DCC" w:rsidRPr="00A72566" w:rsidRDefault="00150DCC" w:rsidP="00191134">
      <w:pPr>
        <w:pStyle w:val="BodyTextIndent2"/>
        <w:numPr>
          <w:ilvl w:val="0"/>
          <w:numId w:val="26"/>
        </w:numPr>
        <w:ind w:left="426" w:right="1" w:hanging="284"/>
        <w:jc w:val="center"/>
        <w:rPr>
          <w:rFonts w:cs="Times New Roman"/>
          <w:color w:val="000000" w:themeColor="text1"/>
          <w:szCs w:val="24"/>
        </w:rPr>
      </w:pPr>
      <w:r w:rsidRPr="00A72566">
        <w:rPr>
          <w:rFonts w:cs="Times New Roman"/>
          <w:color w:val="000000" w:themeColor="text1"/>
          <w:szCs w:val="24"/>
        </w:rPr>
        <w:t xml:space="preserve">Field work visits were made </w:t>
      </w:r>
      <w:r w:rsidR="00041CF6" w:rsidRPr="00A72566">
        <w:rPr>
          <w:rFonts w:cs="Times New Roman"/>
          <w:color w:val="000000" w:themeColor="text1"/>
          <w:szCs w:val="24"/>
        </w:rPr>
        <w:t xml:space="preserve">on a regular basis </w:t>
      </w:r>
      <w:r w:rsidRPr="00A72566">
        <w:rPr>
          <w:rFonts w:cs="Times New Roman"/>
          <w:color w:val="000000" w:themeColor="text1"/>
          <w:szCs w:val="24"/>
        </w:rPr>
        <w:t xml:space="preserve">by both </w:t>
      </w:r>
      <w:r w:rsidR="00CB5E87" w:rsidRPr="00A72566">
        <w:rPr>
          <w:rFonts w:cs="Times New Roman"/>
          <w:color w:val="000000" w:themeColor="text1"/>
          <w:szCs w:val="24"/>
        </w:rPr>
        <w:t xml:space="preserve">the </w:t>
      </w:r>
      <w:r w:rsidRPr="00A72566">
        <w:rPr>
          <w:rFonts w:cs="Times New Roman"/>
          <w:color w:val="000000" w:themeColor="text1"/>
          <w:szCs w:val="24"/>
        </w:rPr>
        <w:t>fieldwork representative and project management staff to monitor data collection process in all governorates. Completed questionnaires were reviewed and corrected if necessary and comments and notes were directed to the team accordingly.</w:t>
      </w:r>
    </w:p>
    <w:p w:rsidR="00422DCD" w:rsidRPr="00A72566" w:rsidRDefault="00422DCD" w:rsidP="008618A5">
      <w:pPr>
        <w:ind w:right="1"/>
        <w:jc w:val="both"/>
        <w:rPr>
          <w:b/>
          <w:bCs/>
          <w:color w:val="000000" w:themeColor="text1"/>
          <w:sz w:val="24"/>
          <w:szCs w:val="24"/>
        </w:rPr>
      </w:pPr>
    </w:p>
    <w:p w:rsidR="00974FC7" w:rsidRDefault="00E77EB8" w:rsidP="00974FC7">
      <w:pPr>
        <w:ind w:right="1"/>
        <w:jc w:val="both"/>
        <w:rPr>
          <w:b/>
          <w:bCs/>
          <w:color w:val="000000" w:themeColor="text1"/>
          <w:sz w:val="24"/>
          <w:szCs w:val="24"/>
        </w:rPr>
      </w:pPr>
      <w:r>
        <w:rPr>
          <w:b/>
          <w:bCs/>
          <w:color w:val="000000" w:themeColor="text1"/>
          <w:sz w:val="24"/>
          <w:szCs w:val="24"/>
        </w:rPr>
        <w:t xml:space="preserve">3.5 </w:t>
      </w:r>
      <w:r w:rsidR="008618A5" w:rsidRPr="00974FC7">
        <w:rPr>
          <w:b/>
          <w:bCs/>
          <w:color w:val="000000" w:themeColor="text1"/>
          <w:sz w:val="24"/>
          <w:szCs w:val="24"/>
        </w:rPr>
        <w:t>Data Processing</w:t>
      </w:r>
    </w:p>
    <w:p w:rsidR="00974FC7" w:rsidRPr="00974FC7" w:rsidRDefault="00974FC7" w:rsidP="00974FC7">
      <w:pPr>
        <w:ind w:right="1"/>
        <w:jc w:val="both"/>
        <w:rPr>
          <w:b/>
          <w:bCs/>
          <w:color w:val="000000" w:themeColor="text1"/>
          <w:sz w:val="24"/>
          <w:szCs w:val="24"/>
        </w:rPr>
      </w:pPr>
    </w:p>
    <w:p w:rsidR="008618A5" w:rsidRPr="00A72566" w:rsidRDefault="00974FC7" w:rsidP="00BB2271">
      <w:pPr>
        <w:pStyle w:val="BodyTextIndent2"/>
        <w:ind w:left="0" w:right="990" w:firstLine="0"/>
        <w:jc w:val="both"/>
        <w:rPr>
          <w:color w:val="000000" w:themeColor="text1"/>
          <w:szCs w:val="24"/>
        </w:rPr>
      </w:pPr>
      <w:r w:rsidRPr="00974FC7">
        <w:rPr>
          <w:b/>
          <w:bCs/>
        </w:rPr>
        <w:t>3.5.1 Programming Consistency Check</w:t>
      </w:r>
      <w:r w:rsidRPr="00974FC7">
        <w:rPr>
          <w:b/>
          <w:bCs/>
        </w:rPr>
        <w:cr/>
      </w:r>
      <w:r w:rsidR="008618A5" w:rsidRPr="00A72566">
        <w:rPr>
          <w:color w:val="000000" w:themeColor="text1"/>
          <w:szCs w:val="24"/>
        </w:rPr>
        <w:t xml:space="preserve">To ensure </w:t>
      </w:r>
      <w:r w:rsidR="000D0F12" w:rsidRPr="00A72566">
        <w:rPr>
          <w:color w:val="000000" w:themeColor="text1"/>
          <w:szCs w:val="24"/>
        </w:rPr>
        <w:t xml:space="preserve">the </w:t>
      </w:r>
      <w:r w:rsidR="008618A5" w:rsidRPr="00A72566">
        <w:rPr>
          <w:color w:val="000000" w:themeColor="text1"/>
          <w:szCs w:val="24"/>
        </w:rPr>
        <w:t>quality and consistency</w:t>
      </w:r>
      <w:r w:rsidR="000D0F12" w:rsidRPr="00A72566">
        <w:rPr>
          <w:color w:val="000000" w:themeColor="text1"/>
          <w:szCs w:val="24"/>
        </w:rPr>
        <w:t xml:space="preserve"> of data</w:t>
      </w:r>
      <w:r w:rsidR="008618A5" w:rsidRPr="00A72566">
        <w:rPr>
          <w:color w:val="000000" w:themeColor="text1"/>
          <w:szCs w:val="24"/>
        </w:rPr>
        <w:t xml:space="preserve">, a set of </w:t>
      </w:r>
      <w:r w:rsidR="000D0F12" w:rsidRPr="00A72566">
        <w:rPr>
          <w:color w:val="000000" w:themeColor="text1"/>
          <w:szCs w:val="24"/>
        </w:rPr>
        <w:t>procedures</w:t>
      </w:r>
      <w:r w:rsidR="008618A5" w:rsidRPr="00A72566">
        <w:rPr>
          <w:color w:val="000000" w:themeColor="text1"/>
          <w:szCs w:val="24"/>
        </w:rPr>
        <w:t xml:space="preserve"> </w:t>
      </w:r>
      <w:r w:rsidR="000D0F12" w:rsidRPr="00A72566">
        <w:rPr>
          <w:color w:val="000000" w:themeColor="text1"/>
          <w:szCs w:val="24"/>
        </w:rPr>
        <w:t>were implemented</w:t>
      </w:r>
      <w:r w:rsidR="008618A5" w:rsidRPr="00A72566">
        <w:rPr>
          <w:color w:val="000000" w:themeColor="text1"/>
          <w:szCs w:val="24"/>
        </w:rPr>
        <w:t>:</w:t>
      </w:r>
    </w:p>
    <w:p w:rsidR="008618A5" w:rsidRPr="00A72566" w:rsidRDefault="008618A5" w:rsidP="000D0F12">
      <w:pPr>
        <w:pStyle w:val="BodyTextIndent2"/>
        <w:numPr>
          <w:ilvl w:val="0"/>
          <w:numId w:val="26"/>
        </w:numPr>
        <w:ind w:left="426" w:right="1" w:hanging="284"/>
        <w:jc w:val="both"/>
        <w:rPr>
          <w:rFonts w:cs="Times New Roman"/>
          <w:color w:val="000000" w:themeColor="text1"/>
          <w:szCs w:val="24"/>
        </w:rPr>
      </w:pPr>
      <w:r w:rsidRPr="00A72566">
        <w:rPr>
          <w:rFonts w:cs="Times New Roman"/>
          <w:color w:val="000000" w:themeColor="text1"/>
          <w:szCs w:val="24"/>
        </w:rPr>
        <w:t xml:space="preserve">A set of validation rules were applied to </w:t>
      </w:r>
      <w:r w:rsidR="00041CF6" w:rsidRPr="00A72566">
        <w:rPr>
          <w:rFonts w:cs="Times New Roman"/>
          <w:color w:val="000000" w:themeColor="text1"/>
          <w:szCs w:val="24"/>
        </w:rPr>
        <w:t xml:space="preserve">the </w:t>
      </w:r>
      <w:r w:rsidR="000D0F12" w:rsidRPr="00A72566">
        <w:rPr>
          <w:rFonts w:cs="Times New Roman"/>
          <w:color w:val="000000" w:themeColor="text1"/>
          <w:szCs w:val="24"/>
        </w:rPr>
        <w:t>data entry program to check the accuracy and consistency of data</w:t>
      </w:r>
      <w:r w:rsidRPr="00A72566">
        <w:rPr>
          <w:rFonts w:cs="Times New Roman"/>
          <w:color w:val="000000" w:themeColor="text1"/>
          <w:szCs w:val="24"/>
        </w:rPr>
        <w:t>.</w:t>
      </w:r>
    </w:p>
    <w:p w:rsidR="000D0F12" w:rsidRPr="00A72566" w:rsidRDefault="000D0F12" w:rsidP="00CB5E87">
      <w:pPr>
        <w:pStyle w:val="BodyTextIndent2"/>
        <w:numPr>
          <w:ilvl w:val="0"/>
          <w:numId w:val="26"/>
        </w:numPr>
        <w:ind w:left="426" w:right="1" w:hanging="284"/>
        <w:jc w:val="both"/>
        <w:rPr>
          <w:rFonts w:cs="Times New Roman"/>
          <w:color w:val="000000" w:themeColor="text1"/>
          <w:szCs w:val="24"/>
        </w:rPr>
      </w:pPr>
      <w:r w:rsidRPr="00A72566">
        <w:rPr>
          <w:rFonts w:cs="Times New Roman"/>
          <w:color w:val="000000" w:themeColor="text1"/>
          <w:szCs w:val="24"/>
        </w:rPr>
        <w:t>The program was tested by entering a number of questionnaires that include incorrect data. The data entry program was checked prior to data collection to ensure that it can be used correctly.</w:t>
      </w:r>
    </w:p>
    <w:p w:rsidR="008618A5" w:rsidRPr="00A72566" w:rsidRDefault="008618A5" w:rsidP="000D0F12">
      <w:pPr>
        <w:pStyle w:val="BodyTextIndent2"/>
        <w:numPr>
          <w:ilvl w:val="0"/>
          <w:numId w:val="26"/>
        </w:numPr>
        <w:ind w:left="426" w:right="1" w:hanging="284"/>
        <w:jc w:val="both"/>
        <w:rPr>
          <w:rFonts w:cs="Times New Roman"/>
          <w:color w:val="000000" w:themeColor="text1"/>
          <w:szCs w:val="24"/>
        </w:rPr>
      </w:pPr>
      <w:r w:rsidRPr="00A72566">
        <w:rPr>
          <w:rFonts w:cs="Times New Roman"/>
          <w:color w:val="000000" w:themeColor="text1"/>
          <w:szCs w:val="24"/>
        </w:rPr>
        <w:t xml:space="preserve">Well-trained data </w:t>
      </w:r>
      <w:r w:rsidR="000D0F12" w:rsidRPr="00A72566">
        <w:rPr>
          <w:rFonts w:cs="Times New Roman"/>
          <w:color w:val="000000" w:themeColor="text1"/>
          <w:szCs w:val="24"/>
        </w:rPr>
        <w:t xml:space="preserve">entry </w:t>
      </w:r>
      <w:r w:rsidRPr="00A72566">
        <w:rPr>
          <w:rFonts w:cs="Times New Roman"/>
          <w:color w:val="000000" w:themeColor="text1"/>
          <w:szCs w:val="24"/>
        </w:rPr>
        <w:t xml:space="preserve">personnel were selected and trained for </w:t>
      </w:r>
      <w:r w:rsidR="000D0F12" w:rsidRPr="00A72566">
        <w:rPr>
          <w:rFonts w:cs="Times New Roman"/>
          <w:color w:val="000000" w:themeColor="text1"/>
          <w:szCs w:val="24"/>
        </w:rPr>
        <w:t>data entry process</w:t>
      </w:r>
      <w:r w:rsidRPr="00A72566">
        <w:rPr>
          <w:rFonts w:cs="Times New Roman"/>
          <w:color w:val="000000" w:themeColor="text1"/>
          <w:szCs w:val="24"/>
        </w:rPr>
        <w:t>.</w:t>
      </w:r>
    </w:p>
    <w:p w:rsidR="008618A5" w:rsidRPr="00A72566" w:rsidRDefault="000D0F12" w:rsidP="008618A5">
      <w:pPr>
        <w:pStyle w:val="BodyTextIndent2"/>
        <w:numPr>
          <w:ilvl w:val="0"/>
          <w:numId w:val="26"/>
        </w:numPr>
        <w:ind w:left="426" w:right="1" w:hanging="284"/>
        <w:jc w:val="both"/>
        <w:rPr>
          <w:rFonts w:cs="Times New Roman"/>
          <w:color w:val="000000" w:themeColor="text1"/>
          <w:szCs w:val="24"/>
        </w:rPr>
      </w:pPr>
      <w:r w:rsidRPr="00A72566">
        <w:rPr>
          <w:rFonts w:cs="Times New Roman"/>
          <w:color w:val="000000" w:themeColor="text1"/>
          <w:szCs w:val="24"/>
        </w:rPr>
        <w:t>D</w:t>
      </w:r>
      <w:r w:rsidR="008618A5" w:rsidRPr="00A72566">
        <w:rPr>
          <w:rFonts w:cs="Times New Roman"/>
          <w:color w:val="000000" w:themeColor="text1"/>
          <w:szCs w:val="24"/>
        </w:rPr>
        <w:t>ata files received by project manage</w:t>
      </w:r>
      <w:r w:rsidRPr="00A72566">
        <w:rPr>
          <w:rFonts w:cs="Times New Roman"/>
          <w:color w:val="000000" w:themeColor="text1"/>
          <w:szCs w:val="24"/>
        </w:rPr>
        <w:t xml:space="preserve">ment were checked for </w:t>
      </w:r>
      <w:r w:rsidR="008618A5" w:rsidRPr="00A72566">
        <w:rPr>
          <w:rFonts w:cs="Times New Roman"/>
          <w:color w:val="000000" w:themeColor="text1"/>
          <w:szCs w:val="24"/>
        </w:rPr>
        <w:t>accuracy and consistency</w:t>
      </w:r>
      <w:r w:rsidRPr="00A72566">
        <w:rPr>
          <w:rFonts w:cs="Times New Roman"/>
          <w:color w:val="000000" w:themeColor="text1"/>
          <w:szCs w:val="24"/>
        </w:rPr>
        <w:t xml:space="preserve"> using a prepared Syntax on SPSS.</w:t>
      </w:r>
      <w:r w:rsidR="008618A5" w:rsidRPr="00A72566">
        <w:rPr>
          <w:rFonts w:cs="Times New Roman"/>
          <w:color w:val="000000" w:themeColor="text1"/>
          <w:szCs w:val="24"/>
        </w:rPr>
        <w:t xml:space="preserve"> </w:t>
      </w:r>
    </w:p>
    <w:p w:rsidR="00400669" w:rsidRDefault="00400669" w:rsidP="008618A5">
      <w:pPr>
        <w:pStyle w:val="BodyTextIndent2"/>
        <w:ind w:left="450" w:right="990" w:firstLine="0"/>
        <w:jc w:val="both"/>
        <w:rPr>
          <w:rFonts w:cs="Times New Roman"/>
          <w:b/>
          <w:bCs/>
          <w:color w:val="000000" w:themeColor="text1"/>
          <w:szCs w:val="24"/>
        </w:rPr>
      </w:pPr>
    </w:p>
    <w:p w:rsidR="00974FC7" w:rsidRDefault="00974FC7" w:rsidP="00974FC7">
      <w:pPr>
        <w:pStyle w:val="BodyTextIndent2"/>
        <w:ind w:left="0" w:right="990" w:firstLine="0"/>
        <w:rPr>
          <w:b/>
          <w:bCs/>
        </w:rPr>
      </w:pPr>
      <w:r>
        <w:rPr>
          <w:b/>
          <w:bCs/>
        </w:rPr>
        <w:t>3.5.2 Data Cleaning</w:t>
      </w:r>
    </w:p>
    <w:p w:rsidR="00974FC7" w:rsidRDefault="00974FC7" w:rsidP="00974FC7">
      <w:pPr>
        <w:autoSpaceDE w:val="0"/>
        <w:autoSpaceDN w:val="0"/>
        <w:jc w:val="both"/>
        <w:rPr>
          <w:sz w:val="24"/>
          <w:szCs w:val="24"/>
        </w:rPr>
      </w:pPr>
      <w:r>
        <w:rPr>
          <w:sz w:val="24"/>
          <w:szCs w:val="24"/>
        </w:rPr>
        <w:t>A set of validation rules were applied to the program to check the consistency</w:t>
      </w:r>
      <w:r>
        <w:t xml:space="preserve"> </w:t>
      </w:r>
      <w:r>
        <w:rPr>
          <w:sz w:val="24"/>
          <w:szCs w:val="24"/>
        </w:rPr>
        <w:t>of</w:t>
      </w:r>
      <w:r>
        <w:t xml:space="preserve"> </w:t>
      </w:r>
      <w:r>
        <w:rPr>
          <w:sz w:val="24"/>
          <w:szCs w:val="24"/>
        </w:rPr>
        <w:t>data.</w:t>
      </w:r>
    </w:p>
    <w:p w:rsidR="00974FC7" w:rsidRDefault="00974FC7" w:rsidP="00974FC7">
      <w:pPr>
        <w:autoSpaceDE w:val="0"/>
        <w:autoSpaceDN w:val="0"/>
        <w:jc w:val="both"/>
        <w:rPr>
          <w:sz w:val="24"/>
          <w:szCs w:val="24"/>
        </w:rPr>
      </w:pPr>
      <w:r>
        <w:rPr>
          <w:sz w:val="24"/>
          <w:szCs w:val="24"/>
        </w:rPr>
        <w:t>There are two steps:</w:t>
      </w:r>
    </w:p>
    <w:p w:rsidR="00974FC7" w:rsidRDefault="00974FC7" w:rsidP="00974FC7">
      <w:pPr>
        <w:autoSpaceDE w:val="0"/>
        <w:autoSpaceDN w:val="0"/>
        <w:jc w:val="both"/>
        <w:rPr>
          <w:sz w:val="24"/>
          <w:szCs w:val="24"/>
        </w:rPr>
      </w:pPr>
    </w:p>
    <w:p w:rsidR="00974FC7" w:rsidRDefault="00974FC7" w:rsidP="00974FC7">
      <w:pPr>
        <w:autoSpaceDE w:val="0"/>
        <w:autoSpaceDN w:val="0"/>
        <w:jc w:val="both"/>
        <w:rPr>
          <w:sz w:val="24"/>
          <w:szCs w:val="24"/>
        </w:rPr>
      </w:pPr>
      <w:r w:rsidRPr="00286079">
        <w:rPr>
          <w:b/>
          <w:bCs/>
          <w:sz w:val="24"/>
          <w:szCs w:val="24"/>
        </w:rPr>
        <w:t>First</w:t>
      </w:r>
      <w:r>
        <w:rPr>
          <w:sz w:val="24"/>
          <w:szCs w:val="24"/>
        </w:rPr>
        <w:t>: The entering program was designed to prevent entering any contrasting data during data entry.</w:t>
      </w:r>
    </w:p>
    <w:p w:rsidR="00974FC7" w:rsidRDefault="00974FC7" w:rsidP="00644F0F">
      <w:pPr>
        <w:pStyle w:val="BodyTextIndent"/>
        <w:tabs>
          <w:tab w:val="clear" w:pos="851"/>
        </w:tabs>
        <w:ind w:left="0" w:firstLine="0"/>
        <w:jc w:val="both"/>
        <w:rPr>
          <w:szCs w:val="24"/>
        </w:rPr>
      </w:pPr>
      <w:r w:rsidRPr="00286079">
        <w:rPr>
          <w:b/>
          <w:bCs/>
        </w:rPr>
        <w:t>Second</w:t>
      </w:r>
      <w:r>
        <w:t>: List of questionnaires that included errors related to the</w:t>
      </w:r>
      <w:r>
        <w:rPr>
          <w:lang w:val="en-GB"/>
        </w:rPr>
        <w:t xml:space="preserve"> logically of the data after entering the data</w:t>
      </w:r>
      <w:r>
        <w:t>.</w:t>
      </w:r>
    </w:p>
    <w:p w:rsidR="00277A11" w:rsidRDefault="00277A11" w:rsidP="00974FC7">
      <w:pPr>
        <w:pStyle w:val="BodyTextIndent"/>
        <w:ind w:left="0"/>
        <w:jc w:val="both"/>
        <w:rPr>
          <w:szCs w:val="24"/>
        </w:rPr>
      </w:pPr>
    </w:p>
    <w:p w:rsidR="00974FC7" w:rsidRDefault="00974FC7" w:rsidP="00974FC7">
      <w:pPr>
        <w:pStyle w:val="BodyTextIndent2"/>
        <w:ind w:right="990"/>
        <w:rPr>
          <w:b/>
          <w:bCs/>
        </w:rPr>
      </w:pPr>
    </w:p>
    <w:p w:rsidR="00974FC7" w:rsidRDefault="00974FC7" w:rsidP="00974FC7">
      <w:pPr>
        <w:pStyle w:val="BodyTextIndent2"/>
        <w:ind w:left="0" w:right="990" w:firstLine="0"/>
      </w:pPr>
      <w:r>
        <w:rPr>
          <w:b/>
          <w:bCs/>
        </w:rPr>
        <w:lastRenderedPageBreak/>
        <w:t>3.5.3 Tabulation</w:t>
      </w:r>
    </w:p>
    <w:p w:rsidR="00974FC7" w:rsidRDefault="00974FC7" w:rsidP="00974FC7">
      <w:pPr>
        <w:autoSpaceDE w:val="0"/>
        <w:autoSpaceDN w:val="0"/>
        <w:jc w:val="both"/>
        <w:rPr>
          <w:sz w:val="24"/>
          <w:szCs w:val="24"/>
          <w:rtl/>
        </w:rPr>
      </w:pPr>
      <w:r>
        <w:rPr>
          <w:sz w:val="24"/>
          <w:szCs w:val="24"/>
        </w:rPr>
        <w:t>Primary tables were prepared after the process of data entry and editin</w:t>
      </w:r>
      <w:r w:rsidR="00BB2271">
        <w:rPr>
          <w:sz w:val="24"/>
          <w:szCs w:val="24"/>
        </w:rPr>
        <w:t>g, o</w:t>
      </w:r>
      <w:r>
        <w:rPr>
          <w:sz w:val="24"/>
          <w:szCs w:val="24"/>
        </w:rPr>
        <w:t>ngoing editing of data was followed with final correction of data tables.</w:t>
      </w:r>
    </w:p>
    <w:p w:rsidR="00974FC7" w:rsidRDefault="00974FC7" w:rsidP="00974FC7">
      <w:pPr>
        <w:rPr>
          <w:rFonts w:ascii="Arial" w:hAnsi="Arial" w:cs="Arial"/>
          <w:sz w:val="22"/>
          <w:szCs w:val="22"/>
        </w:rPr>
      </w:pPr>
    </w:p>
    <w:p w:rsidR="00277A11" w:rsidRDefault="00277A11">
      <w:pPr>
        <w:rPr>
          <w:color w:val="000000"/>
          <w:sz w:val="24"/>
          <w:szCs w:val="24"/>
        </w:rPr>
      </w:pPr>
      <w:r>
        <w:rPr>
          <w:color w:val="000000"/>
          <w:sz w:val="24"/>
          <w:szCs w:val="24"/>
        </w:rPr>
        <w:br w:type="page"/>
      </w:r>
    </w:p>
    <w:p w:rsidR="00277A11" w:rsidRDefault="00277A11">
      <w:pPr>
        <w:rPr>
          <w:color w:val="000000"/>
          <w:sz w:val="24"/>
          <w:szCs w:val="24"/>
        </w:rPr>
      </w:pPr>
      <w:r>
        <w:rPr>
          <w:color w:val="000000"/>
          <w:sz w:val="24"/>
          <w:szCs w:val="24"/>
        </w:rPr>
        <w:lastRenderedPageBreak/>
        <w:br w:type="page"/>
      </w:r>
    </w:p>
    <w:p w:rsidR="00564750" w:rsidRPr="00A72566" w:rsidRDefault="00564750" w:rsidP="005E2DA4">
      <w:pPr>
        <w:tabs>
          <w:tab w:val="left" w:pos="4020"/>
        </w:tabs>
        <w:ind w:left="426" w:right="1" w:hanging="284"/>
        <w:jc w:val="center"/>
        <w:rPr>
          <w:color w:val="000000"/>
          <w:sz w:val="24"/>
          <w:szCs w:val="24"/>
        </w:rPr>
      </w:pPr>
      <w:r w:rsidRPr="00A72566">
        <w:rPr>
          <w:color w:val="000000"/>
          <w:sz w:val="24"/>
          <w:szCs w:val="24"/>
        </w:rPr>
        <w:lastRenderedPageBreak/>
        <w:t>Chapter Four</w:t>
      </w:r>
    </w:p>
    <w:p w:rsidR="00564750" w:rsidRPr="00A72566" w:rsidRDefault="00564750" w:rsidP="00564750">
      <w:pPr>
        <w:ind w:left="426" w:right="1" w:hanging="284"/>
        <w:jc w:val="center"/>
        <w:rPr>
          <w:color w:val="000000"/>
          <w:sz w:val="24"/>
          <w:szCs w:val="24"/>
        </w:rPr>
      </w:pPr>
    </w:p>
    <w:p w:rsidR="00564750" w:rsidRPr="00A72566" w:rsidRDefault="00BB2271" w:rsidP="00564750">
      <w:pPr>
        <w:ind w:left="426" w:right="1" w:hanging="284"/>
        <w:jc w:val="center"/>
        <w:rPr>
          <w:b/>
          <w:bCs/>
          <w:color w:val="000000"/>
          <w:sz w:val="24"/>
          <w:szCs w:val="24"/>
        </w:rPr>
      </w:pPr>
      <w:r>
        <w:rPr>
          <w:b/>
          <w:bCs/>
          <w:color w:val="000000"/>
          <w:sz w:val="28"/>
          <w:szCs w:val="28"/>
        </w:rPr>
        <w:t>The</w:t>
      </w:r>
      <w:r w:rsidR="00564750" w:rsidRPr="00A72566">
        <w:rPr>
          <w:b/>
          <w:bCs/>
          <w:color w:val="000000"/>
          <w:sz w:val="28"/>
          <w:szCs w:val="28"/>
        </w:rPr>
        <w:t xml:space="preserve"> Quality</w:t>
      </w:r>
    </w:p>
    <w:p w:rsidR="00564750" w:rsidRPr="00A72566" w:rsidRDefault="00564750" w:rsidP="00564750">
      <w:pPr>
        <w:ind w:right="1"/>
        <w:jc w:val="both"/>
        <w:rPr>
          <w:color w:val="000000"/>
          <w:sz w:val="24"/>
          <w:szCs w:val="24"/>
        </w:rPr>
      </w:pPr>
    </w:p>
    <w:p w:rsidR="00564750" w:rsidRPr="00A72566" w:rsidRDefault="00937125" w:rsidP="0098155A">
      <w:pPr>
        <w:numPr>
          <w:ilvl w:val="12"/>
          <w:numId w:val="0"/>
        </w:numPr>
        <w:jc w:val="lowKashida"/>
        <w:rPr>
          <w:b/>
          <w:bCs/>
          <w:color w:val="000000"/>
          <w:sz w:val="24"/>
          <w:szCs w:val="24"/>
        </w:rPr>
      </w:pPr>
      <w:r w:rsidRPr="00A72566">
        <w:rPr>
          <w:b/>
          <w:bCs/>
          <w:color w:val="000000"/>
          <w:sz w:val="24"/>
          <w:szCs w:val="24"/>
          <w:rtl/>
          <w:lang w:bidi="ar-SY"/>
        </w:rPr>
        <w:t>4</w:t>
      </w:r>
      <w:r w:rsidRPr="00A72566">
        <w:rPr>
          <w:b/>
          <w:bCs/>
          <w:color w:val="000000"/>
          <w:sz w:val="24"/>
          <w:szCs w:val="24"/>
          <w:lang w:bidi="ar-SY"/>
        </w:rPr>
        <w:t>.1</w:t>
      </w:r>
      <w:r w:rsidR="00564750" w:rsidRPr="00A72566">
        <w:rPr>
          <w:b/>
          <w:bCs/>
          <w:color w:val="000000"/>
          <w:sz w:val="24"/>
          <w:szCs w:val="24"/>
        </w:rPr>
        <w:t xml:space="preserve"> Accuracy of Data</w:t>
      </w:r>
    </w:p>
    <w:p w:rsidR="00564750" w:rsidRPr="00A72566" w:rsidRDefault="00564750" w:rsidP="00564750">
      <w:pPr>
        <w:numPr>
          <w:ilvl w:val="12"/>
          <w:numId w:val="0"/>
        </w:numPr>
        <w:jc w:val="lowKashida"/>
        <w:rPr>
          <w:b/>
          <w:bCs/>
          <w:color w:val="000000"/>
          <w:sz w:val="16"/>
          <w:szCs w:val="16"/>
        </w:rPr>
      </w:pPr>
    </w:p>
    <w:p w:rsidR="008618A5" w:rsidRPr="00A72566" w:rsidRDefault="00C45C16" w:rsidP="006D7C4B">
      <w:pPr>
        <w:numPr>
          <w:ilvl w:val="12"/>
          <w:numId w:val="0"/>
        </w:numPr>
        <w:ind w:left="360" w:hanging="360"/>
        <w:jc w:val="both"/>
        <w:rPr>
          <w:b/>
          <w:bCs/>
          <w:color w:val="000000" w:themeColor="text1"/>
          <w:sz w:val="24"/>
          <w:szCs w:val="24"/>
        </w:rPr>
      </w:pPr>
      <w:r w:rsidRPr="00A72566">
        <w:rPr>
          <w:b/>
          <w:bCs/>
          <w:color w:val="000000" w:themeColor="text1"/>
          <w:sz w:val="24"/>
          <w:szCs w:val="24"/>
        </w:rPr>
        <w:t>4</w:t>
      </w:r>
      <w:r w:rsidR="008618A5" w:rsidRPr="00A72566">
        <w:rPr>
          <w:b/>
          <w:bCs/>
          <w:color w:val="000000" w:themeColor="text1"/>
          <w:sz w:val="24"/>
          <w:szCs w:val="24"/>
        </w:rPr>
        <w:t>.</w:t>
      </w:r>
      <w:r w:rsidRPr="00A72566">
        <w:rPr>
          <w:b/>
          <w:bCs/>
          <w:color w:val="000000" w:themeColor="text1"/>
          <w:sz w:val="24"/>
          <w:szCs w:val="24"/>
        </w:rPr>
        <w:t>1</w:t>
      </w:r>
      <w:r w:rsidR="008618A5" w:rsidRPr="00A72566">
        <w:rPr>
          <w:b/>
          <w:bCs/>
          <w:color w:val="000000" w:themeColor="text1"/>
          <w:sz w:val="24"/>
          <w:szCs w:val="24"/>
        </w:rPr>
        <w:t>.</w:t>
      </w:r>
      <w:r w:rsidR="006D7C4B" w:rsidRPr="00A72566">
        <w:rPr>
          <w:b/>
          <w:bCs/>
          <w:color w:val="000000" w:themeColor="text1"/>
          <w:sz w:val="24"/>
          <w:szCs w:val="24"/>
        </w:rPr>
        <w:t>1</w:t>
      </w:r>
      <w:r w:rsidR="008618A5" w:rsidRPr="00A72566">
        <w:rPr>
          <w:b/>
          <w:bCs/>
          <w:color w:val="000000" w:themeColor="text1"/>
          <w:sz w:val="24"/>
          <w:szCs w:val="24"/>
        </w:rPr>
        <w:t xml:space="preserve"> Sampling Errors</w:t>
      </w:r>
    </w:p>
    <w:p w:rsidR="008618A5" w:rsidRPr="00A72566" w:rsidRDefault="00BE789A" w:rsidP="00BE789A">
      <w:pPr>
        <w:pStyle w:val="BodyText"/>
        <w:jc w:val="both"/>
        <w:rPr>
          <w:color w:val="000000" w:themeColor="text1"/>
        </w:rPr>
      </w:pPr>
      <w:r w:rsidRPr="00A72566">
        <w:rPr>
          <w:color w:val="000000" w:themeColor="text1"/>
        </w:rPr>
        <w:t>The findings of the survey</w:t>
      </w:r>
      <w:r w:rsidR="008618A5" w:rsidRPr="00A72566">
        <w:rPr>
          <w:color w:val="000000" w:themeColor="text1"/>
        </w:rPr>
        <w:t xml:space="preserve"> are not affected by sampling errors, </w:t>
      </w:r>
      <w:r w:rsidR="0042689B" w:rsidRPr="00A72566">
        <w:rPr>
          <w:color w:val="000000" w:themeColor="text1"/>
        </w:rPr>
        <w:t>because it is a comprehensive survey.</w:t>
      </w:r>
    </w:p>
    <w:p w:rsidR="008618A5" w:rsidRPr="00A72566" w:rsidRDefault="008618A5" w:rsidP="008618A5">
      <w:pPr>
        <w:pStyle w:val="BodyText"/>
        <w:jc w:val="both"/>
        <w:rPr>
          <w:color w:val="000000" w:themeColor="text1"/>
          <w:sz w:val="16"/>
          <w:szCs w:val="16"/>
        </w:rPr>
      </w:pPr>
    </w:p>
    <w:p w:rsidR="008618A5" w:rsidRPr="00A72566" w:rsidRDefault="00C45C16" w:rsidP="006D7C4B">
      <w:pPr>
        <w:pStyle w:val="BodyTextIndent2"/>
        <w:ind w:left="0" w:firstLine="0"/>
        <w:jc w:val="both"/>
        <w:rPr>
          <w:rFonts w:cs="Times New Roman"/>
          <w:b/>
          <w:bCs/>
          <w:color w:val="000000" w:themeColor="text1"/>
          <w:szCs w:val="24"/>
        </w:rPr>
      </w:pPr>
      <w:r w:rsidRPr="00A72566">
        <w:rPr>
          <w:rFonts w:cs="Times New Roman"/>
          <w:b/>
          <w:bCs/>
          <w:color w:val="000000" w:themeColor="text1"/>
          <w:szCs w:val="24"/>
        </w:rPr>
        <w:t>4</w:t>
      </w:r>
      <w:r w:rsidR="008618A5" w:rsidRPr="00A72566">
        <w:rPr>
          <w:rFonts w:cs="Times New Roman"/>
          <w:b/>
          <w:bCs/>
          <w:color w:val="000000" w:themeColor="text1"/>
          <w:szCs w:val="24"/>
        </w:rPr>
        <w:t>.</w:t>
      </w:r>
      <w:r w:rsidRPr="00A72566">
        <w:rPr>
          <w:rFonts w:cs="Times New Roman"/>
          <w:b/>
          <w:bCs/>
          <w:color w:val="000000" w:themeColor="text1"/>
          <w:szCs w:val="24"/>
        </w:rPr>
        <w:t>1</w:t>
      </w:r>
      <w:r w:rsidR="008618A5" w:rsidRPr="00A72566">
        <w:rPr>
          <w:rFonts w:cs="Times New Roman"/>
          <w:b/>
          <w:bCs/>
          <w:color w:val="000000" w:themeColor="text1"/>
          <w:szCs w:val="24"/>
        </w:rPr>
        <w:t>.</w:t>
      </w:r>
      <w:r w:rsidR="006D7C4B" w:rsidRPr="00A72566">
        <w:rPr>
          <w:rFonts w:cs="Times New Roman"/>
          <w:b/>
          <w:bCs/>
          <w:color w:val="000000" w:themeColor="text1"/>
          <w:szCs w:val="24"/>
        </w:rPr>
        <w:t>2</w:t>
      </w:r>
      <w:r w:rsidR="008618A5" w:rsidRPr="00A72566">
        <w:rPr>
          <w:rFonts w:cs="Times New Roman"/>
          <w:b/>
          <w:bCs/>
          <w:color w:val="000000" w:themeColor="text1"/>
          <w:szCs w:val="24"/>
        </w:rPr>
        <w:t xml:space="preserve"> Non-Sampling Errors</w:t>
      </w:r>
    </w:p>
    <w:p w:rsidR="008618A5" w:rsidRPr="00A72566" w:rsidRDefault="008618A5" w:rsidP="00D3787F">
      <w:pPr>
        <w:tabs>
          <w:tab w:val="right" w:pos="540"/>
        </w:tabs>
        <w:ind w:right="-1"/>
        <w:jc w:val="both"/>
        <w:rPr>
          <w:color w:val="000000" w:themeColor="text1"/>
          <w:szCs w:val="24"/>
        </w:rPr>
      </w:pPr>
      <w:r w:rsidRPr="00A72566">
        <w:rPr>
          <w:color w:val="000000" w:themeColor="text1"/>
          <w:sz w:val="24"/>
          <w:szCs w:val="24"/>
        </w:rPr>
        <w:t>These types of errors could appear in one or in all of the survey stages</w:t>
      </w:r>
      <w:r w:rsidR="0042689B" w:rsidRPr="00A72566">
        <w:rPr>
          <w:color w:val="000000" w:themeColor="text1"/>
          <w:sz w:val="24"/>
          <w:szCs w:val="24"/>
        </w:rPr>
        <w:t xml:space="preserve">. They are related to respondents, </w:t>
      </w:r>
      <w:r w:rsidR="00CB5E87" w:rsidRPr="00A72566">
        <w:rPr>
          <w:color w:val="000000" w:themeColor="text1"/>
          <w:sz w:val="24"/>
          <w:szCs w:val="24"/>
        </w:rPr>
        <w:t>field</w:t>
      </w:r>
      <w:r w:rsidR="00C45C16" w:rsidRPr="00A72566">
        <w:rPr>
          <w:color w:val="000000" w:themeColor="text1"/>
          <w:sz w:val="24"/>
          <w:szCs w:val="24"/>
        </w:rPr>
        <w:t xml:space="preserve">workers, and data entry personnel. To avoid </w:t>
      </w:r>
      <w:r w:rsidR="0042689B" w:rsidRPr="00A72566">
        <w:rPr>
          <w:color w:val="000000" w:themeColor="text1"/>
          <w:sz w:val="24"/>
          <w:szCs w:val="24"/>
        </w:rPr>
        <w:t>this type of errors and reduce its impact</w:t>
      </w:r>
      <w:r w:rsidR="00D3787F" w:rsidRPr="00A72566">
        <w:rPr>
          <w:color w:val="000000" w:themeColor="text1"/>
          <w:sz w:val="24"/>
          <w:szCs w:val="24"/>
        </w:rPr>
        <w:t>, a number of procedures were used to enhance the accuracy of data collection and data processing.</w:t>
      </w:r>
      <w:r w:rsidR="0042689B" w:rsidRPr="00A72566">
        <w:rPr>
          <w:color w:val="000000" w:themeColor="text1"/>
          <w:sz w:val="24"/>
          <w:szCs w:val="24"/>
        </w:rPr>
        <w:t xml:space="preserve"> </w:t>
      </w:r>
    </w:p>
    <w:p w:rsidR="006D7C4B" w:rsidRPr="00A72566" w:rsidRDefault="006D7C4B" w:rsidP="00D3787F">
      <w:pPr>
        <w:tabs>
          <w:tab w:val="right" w:pos="540"/>
        </w:tabs>
        <w:ind w:right="-1"/>
        <w:jc w:val="both"/>
        <w:rPr>
          <w:color w:val="000000" w:themeColor="text1"/>
          <w:szCs w:val="24"/>
        </w:rPr>
      </w:pPr>
    </w:p>
    <w:p w:rsidR="006D7C4B" w:rsidRPr="00A72566" w:rsidRDefault="006D7C4B" w:rsidP="006D7C4B">
      <w:pPr>
        <w:pStyle w:val="BodyTextIndent2"/>
        <w:ind w:left="0" w:firstLine="0"/>
        <w:jc w:val="both"/>
        <w:rPr>
          <w:rFonts w:cs="Times New Roman"/>
          <w:b/>
          <w:bCs/>
          <w:color w:val="000000" w:themeColor="text1"/>
          <w:szCs w:val="24"/>
        </w:rPr>
      </w:pPr>
      <w:r w:rsidRPr="00A72566">
        <w:rPr>
          <w:rFonts w:cs="Times New Roman"/>
          <w:b/>
          <w:bCs/>
          <w:color w:val="000000" w:themeColor="text1"/>
          <w:szCs w:val="24"/>
        </w:rPr>
        <w:t>4.1.3</w:t>
      </w:r>
      <w:r w:rsidRPr="00A72566">
        <w:rPr>
          <w:rFonts w:cs="Times New Roman"/>
          <w:color w:val="000000" w:themeColor="text1"/>
          <w:szCs w:val="24"/>
        </w:rPr>
        <w:t xml:space="preserve"> </w:t>
      </w:r>
      <w:r w:rsidRPr="00A72566">
        <w:rPr>
          <w:rFonts w:cs="Times New Roman"/>
          <w:b/>
          <w:bCs/>
          <w:color w:val="000000" w:themeColor="text1"/>
          <w:szCs w:val="24"/>
        </w:rPr>
        <w:t>Response Rates</w:t>
      </w:r>
    </w:p>
    <w:p w:rsidR="006D7C4B" w:rsidRPr="00A72566" w:rsidRDefault="006D7C4B" w:rsidP="00944193">
      <w:pPr>
        <w:pStyle w:val="BodyTextIndent2"/>
        <w:numPr>
          <w:ilvl w:val="0"/>
          <w:numId w:val="26"/>
        </w:numPr>
        <w:ind w:left="426" w:right="360" w:hanging="284"/>
        <w:jc w:val="both"/>
        <w:rPr>
          <w:rFonts w:cs="Times New Roman"/>
          <w:color w:val="000000" w:themeColor="text1"/>
          <w:szCs w:val="24"/>
        </w:rPr>
      </w:pPr>
      <w:r w:rsidRPr="00A72566">
        <w:rPr>
          <w:rFonts w:cs="Times New Roman"/>
          <w:color w:val="000000" w:themeColor="text1"/>
          <w:szCs w:val="24"/>
        </w:rPr>
        <w:t xml:space="preserve">Response rate: </w:t>
      </w:r>
      <w:r w:rsidR="00944193">
        <w:rPr>
          <w:rFonts w:cs="Times New Roman"/>
          <w:color w:val="000000" w:themeColor="text1"/>
          <w:szCs w:val="24"/>
        </w:rPr>
        <w:t>100</w:t>
      </w:r>
      <w:r w:rsidRPr="00A72566">
        <w:rPr>
          <w:rFonts w:cs="Times New Roman"/>
          <w:color w:val="000000" w:themeColor="text1"/>
          <w:szCs w:val="24"/>
        </w:rPr>
        <w:t>%.</w:t>
      </w:r>
    </w:p>
    <w:p w:rsidR="006A60A3" w:rsidRPr="00A72566" w:rsidRDefault="006A60A3" w:rsidP="00937125">
      <w:pPr>
        <w:tabs>
          <w:tab w:val="right" w:pos="0"/>
          <w:tab w:val="right" w:pos="540"/>
        </w:tabs>
        <w:ind w:right="-1"/>
        <w:jc w:val="lowKashida"/>
        <w:rPr>
          <w:color w:val="000000"/>
          <w:sz w:val="24"/>
          <w:szCs w:val="24"/>
        </w:rPr>
      </w:pPr>
    </w:p>
    <w:p w:rsidR="00564750" w:rsidRPr="00A72566" w:rsidRDefault="00937125" w:rsidP="00937125">
      <w:pPr>
        <w:tabs>
          <w:tab w:val="right" w:pos="0"/>
          <w:tab w:val="right" w:pos="540"/>
        </w:tabs>
        <w:ind w:right="-1"/>
        <w:jc w:val="lowKashida"/>
        <w:rPr>
          <w:b/>
          <w:bCs/>
          <w:color w:val="000000"/>
          <w:sz w:val="24"/>
          <w:szCs w:val="24"/>
        </w:rPr>
      </w:pPr>
      <w:r w:rsidRPr="00A72566">
        <w:rPr>
          <w:b/>
          <w:bCs/>
          <w:color w:val="000000"/>
          <w:sz w:val="24"/>
          <w:szCs w:val="24"/>
        </w:rPr>
        <w:t>4</w:t>
      </w:r>
      <w:r w:rsidR="00564750" w:rsidRPr="00A72566">
        <w:rPr>
          <w:b/>
          <w:bCs/>
          <w:color w:val="000000"/>
          <w:sz w:val="24"/>
          <w:szCs w:val="24"/>
        </w:rPr>
        <w:t>.</w:t>
      </w:r>
      <w:r w:rsidRPr="00A72566">
        <w:rPr>
          <w:b/>
          <w:bCs/>
          <w:color w:val="000000"/>
          <w:sz w:val="24"/>
          <w:szCs w:val="24"/>
        </w:rPr>
        <w:t>2</w:t>
      </w:r>
      <w:r w:rsidR="00564750" w:rsidRPr="00A72566">
        <w:rPr>
          <w:b/>
          <w:bCs/>
          <w:color w:val="000000"/>
          <w:sz w:val="24"/>
          <w:szCs w:val="24"/>
        </w:rPr>
        <w:t xml:space="preserve"> Comparability</w:t>
      </w:r>
      <w:r w:rsidR="00F867F0" w:rsidRPr="00A72566">
        <w:rPr>
          <w:b/>
          <w:bCs/>
          <w:color w:val="000000"/>
          <w:sz w:val="24"/>
          <w:szCs w:val="24"/>
        </w:rPr>
        <w:t xml:space="preserve"> of Data</w:t>
      </w:r>
    </w:p>
    <w:p w:rsidR="008618A5" w:rsidRPr="00A72566" w:rsidRDefault="008618A5" w:rsidP="00CB5E87">
      <w:pPr>
        <w:pStyle w:val="BodyText"/>
        <w:jc w:val="both"/>
        <w:rPr>
          <w:color w:val="000000" w:themeColor="text1"/>
        </w:rPr>
      </w:pPr>
      <w:r w:rsidRPr="00A72566">
        <w:rPr>
          <w:color w:val="000000" w:themeColor="text1"/>
        </w:rPr>
        <w:t xml:space="preserve">We can make comparisons of survey data over </w:t>
      </w:r>
      <w:r w:rsidR="00D3787F" w:rsidRPr="00A72566">
        <w:rPr>
          <w:color w:val="000000" w:themeColor="text1"/>
        </w:rPr>
        <w:t xml:space="preserve">time.  Additionally, the survey results are comparable </w:t>
      </w:r>
      <w:r w:rsidRPr="00A72566">
        <w:rPr>
          <w:color w:val="000000" w:themeColor="text1"/>
        </w:rPr>
        <w:t>with other countries that publish statistics based on the </w:t>
      </w:r>
      <w:r w:rsidR="00D3787F" w:rsidRPr="00A72566">
        <w:rPr>
          <w:color w:val="000000" w:themeColor="text1"/>
        </w:rPr>
        <w:t xml:space="preserve">Fifth-edition  of the </w:t>
      </w:r>
      <w:r w:rsidRPr="00A72566">
        <w:rPr>
          <w:color w:val="000000" w:themeColor="text1"/>
        </w:rPr>
        <w:t>Balance of Payments Manual</w:t>
      </w:r>
      <w:r w:rsidR="00D3787F" w:rsidRPr="00A72566">
        <w:rPr>
          <w:color w:val="000000" w:themeColor="text1"/>
        </w:rPr>
        <w:t xml:space="preserve"> </w:t>
      </w:r>
      <w:r w:rsidRPr="00A72566">
        <w:rPr>
          <w:color w:val="000000" w:themeColor="text1"/>
        </w:rPr>
        <w:t>issued by the International Monetary Fund (IMF</w:t>
      </w:r>
      <w:r w:rsidR="003A48E8" w:rsidRPr="00A72566">
        <w:rPr>
          <w:color w:val="000000" w:themeColor="text1"/>
        </w:rPr>
        <w:t>)</w:t>
      </w:r>
      <w:r w:rsidR="00BE789A" w:rsidRPr="00A72566">
        <w:rPr>
          <w:color w:val="000000" w:themeColor="text1"/>
        </w:rPr>
        <w:t>, as the</w:t>
      </w:r>
      <w:r w:rsidRPr="00A72566">
        <w:rPr>
          <w:color w:val="000000" w:themeColor="text1"/>
        </w:rPr>
        <w:t xml:space="preserve"> survey was conducted according to the recommendations and standards of </w:t>
      </w:r>
      <w:r w:rsidR="00CB5E87" w:rsidRPr="00A72566">
        <w:rPr>
          <w:color w:val="000000" w:themeColor="text1"/>
        </w:rPr>
        <w:t>the said</w:t>
      </w:r>
      <w:r w:rsidRPr="00A72566">
        <w:rPr>
          <w:color w:val="000000" w:themeColor="text1"/>
        </w:rPr>
        <w:t xml:space="preserve"> manual.</w:t>
      </w:r>
    </w:p>
    <w:p w:rsidR="008618A5" w:rsidRPr="00A27CD1" w:rsidRDefault="008618A5" w:rsidP="008618A5">
      <w:pPr>
        <w:pStyle w:val="BodyText"/>
        <w:jc w:val="both"/>
        <w:rPr>
          <w:color w:val="000000" w:themeColor="text1"/>
          <w:sz w:val="28"/>
          <w:szCs w:val="28"/>
        </w:rPr>
      </w:pPr>
    </w:p>
    <w:p w:rsidR="008618A5" w:rsidRDefault="008618A5" w:rsidP="000236F4">
      <w:pPr>
        <w:pStyle w:val="BodyText"/>
        <w:jc w:val="center"/>
        <w:rPr>
          <w:rFonts w:ascii="Arial" w:hAnsi="Arial" w:cs="Arial"/>
          <w:b/>
          <w:bCs/>
          <w:color w:val="000000" w:themeColor="text1"/>
          <w:sz w:val="22"/>
          <w:szCs w:val="22"/>
        </w:rPr>
      </w:pPr>
      <w:r w:rsidRPr="00A72566">
        <w:rPr>
          <w:rFonts w:ascii="Arial" w:hAnsi="Arial" w:cs="Arial"/>
          <w:b/>
          <w:bCs/>
          <w:color w:val="000000" w:themeColor="text1"/>
          <w:sz w:val="22"/>
          <w:szCs w:val="22"/>
        </w:rPr>
        <w:t>C</w:t>
      </w:r>
      <w:r w:rsidR="00286079">
        <w:rPr>
          <w:rFonts w:ascii="Arial" w:hAnsi="Arial" w:cs="Arial"/>
          <w:b/>
          <w:bCs/>
          <w:color w:val="000000" w:themeColor="text1"/>
          <w:sz w:val="22"/>
          <w:szCs w:val="22"/>
        </w:rPr>
        <w:t xml:space="preserve">omparing Main Indicators for </w:t>
      </w:r>
      <w:r w:rsidR="00E54B36">
        <w:rPr>
          <w:rFonts w:ascii="Arial" w:hAnsi="Arial" w:cs="Arial"/>
          <w:b/>
          <w:bCs/>
          <w:color w:val="000000" w:themeColor="text1"/>
          <w:sz w:val="22"/>
          <w:szCs w:val="22"/>
        </w:rPr>
        <w:t xml:space="preserve">the Years </w:t>
      </w:r>
      <w:r w:rsidR="000236F4">
        <w:rPr>
          <w:rFonts w:ascii="Arial" w:hAnsi="Arial" w:cs="Arial"/>
          <w:b/>
          <w:bCs/>
          <w:color w:val="000000" w:themeColor="text1"/>
          <w:sz w:val="22"/>
          <w:szCs w:val="22"/>
        </w:rPr>
        <w:t>2014</w:t>
      </w:r>
      <w:r w:rsidR="00E54B36">
        <w:rPr>
          <w:rFonts w:ascii="Arial" w:hAnsi="Arial" w:cs="Arial"/>
          <w:b/>
          <w:bCs/>
          <w:color w:val="000000" w:themeColor="text1"/>
          <w:sz w:val="22"/>
          <w:szCs w:val="22"/>
        </w:rPr>
        <w:t>-</w:t>
      </w:r>
      <w:r w:rsidR="00BC01CB">
        <w:rPr>
          <w:rFonts w:ascii="Arial" w:hAnsi="Arial" w:cs="Arial"/>
          <w:b/>
          <w:bCs/>
          <w:color w:val="000000" w:themeColor="text1"/>
          <w:sz w:val="22"/>
          <w:szCs w:val="22"/>
        </w:rPr>
        <w:t>2018</w:t>
      </w:r>
    </w:p>
    <w:p w:rsidR="00644F0F" w:rsidRPr="00644F0F" w:rsidRDefault="00644F0F" w:rsidP="000236F4">
      <w:pPr>
        <w:pStyle w:val="BodyText"/>
        <w:jc w:val="center"/>
        <w:rPr>
          <w:rFonts w:ascii="Arial" w:hAnsi="Arial" w:cs="Arial"/>
          <w:b/>
          <w:bCs/>
          <w:color w:val="000000" w:themeColor="text1"/>
          <w:sz w:val="8"/>
          <w:szCs w:val="8"/>
        </w:rPr>
      </w:pPr>
    </w:p>
    <w:p w:rsidR="008618A5" w:rsidRPr="00A72566" w:rsidRDefault="008618A5" w:rsidP="000B56D8">
      <w:pPr>
        <w:pStyle w:val="BodyText"/>
        <w:jc w:val="left"/>
        <w:rPr>
          <w:color w:val="000000" w:themeColor="text1"/>
          <w:sz w:val="10"/>
          <w:szCs w:val="10"/>
        </w:rPr>
      </w:pPr>
      <w:r w:rsidRPr="00A72566">
        <w:rPr>
          <w:color w:val="000000" w:themeColor="text1"/>
          <w:sz w:val="10"/>
          <w:szCs w:val="10"/>
        </w:rPr>
        <w:t xml:space="preserve">   </w:t>
      </w:r>
      <w:r w:rsidR="00286079">
        <w:rPr>
          <w:rFonts w:ascii="Arial" w:hAnsi="Arial" w:cs="Arial"/>
          <w:color w:val="000000" w:themeColor="text1"/>
          <w:sz w:val="18"/>
          <w:szCs w:val="18"/>
        </w:rPr>
        <w:t>Value</w:t>
      </w:r>
      <w:r w:rsidR="00286079" w:rsidRPr="00A72566">
        <w:rPr>
          <w:rFonts w:ascii="Arial" w:hAnsi="Arial" w:cs="Arial"/>
          <w:color w:val="000000" w:themeColor="text1"/>
          <w:sz w:val="18"/>
          <w:szCs w:val="18"/>
        </w:rPr>
        <w:t xml:space="preserve"> in million US</w:t>
      </w:r>
      <w:r w:rsidR="00286079">
        <w:rPr>
          <w:rFonts w:ascii="Arial" w:hAnsi="Arial" w:cs="Arial"/>
          <w:color w:val="000000" w:themeColor="text1"/>
          <w:sz w:val="18"/>
          <w:szCs w:val="18"/>
        </w:rPr>
        <w:t>D</w:t>
      </w:r>
    </w:p>
    <w:tbl>
      <w:tblPr>
        <w:tblStyle w:val="TableGrid"/>
        <w:tblW w:w="9072" w:type="dxa"/>
        <w:jc w:val="center"/>
        <w:tblLook w:val="04A0" w:firstRow="1" w:lastRow="0" w:firstColumn="1" w:lastColumn="0" w:noHBand="0" w:noVBand="1"/>
      </w:tblPr>
      <w:tblGrid>
        <w:gridCol w:w="4111"/>
        <w:gridCol w:w="992"/>
        <w:gridCol w:w="993"/>
        <w:gridCol w:w="992"/>
        <w:gridCol w:w="992"/>
        <w:gridCol w:w="992"/>
      </w:tblGrid>
      <w:tr w:rsidR="000236F4" w:rsidRPr="00644F0F" w:rsidTr="00A27CD1">
        <w:trPr>
          <w:trHeight w:val="317"/>
          <w:jc w:val="center"/>
        </w:trPr>
        <w:tc>
          <w:tcPr>
            <w:tcW w:w="4111" w:type="dxa"/>
            <w:tcBorders>
              <w:bottom w:val="nil"/>
            </w:tcBorders>
            <w:vAlign w:val="center"/>
          </w:tcPr>
          <w:p w:rsidR="000236F4" w:rsidRPr="00644F0F" w:rsidRDefault="000236F4" w:rsidP="00286079">
            <w:pPr>
              <w:pStyle w:val="BodyText"/>
              <w:jc w:val="center"/>
              <w:rPr>
                <w:rFonts w:ascii="Arial" w:hAnsi="Arial" w:cs="Arial"/>
                <w:color w:val="000000" w:themeColor="text1"/>
                <w:sz w:val="18"/>
                <w:szCs w:val="18"/>
              </w:rPr>
            </w:pPr>
            <w:r w:rsidRPr="00644F0F">
              <w:rPr>
                <w:rFonts w:ascii="Arial" w:hAnsi="Arial" w:cs="Arial"/>
                <w:b/>
                <w:bCs/>
                <w:color w:val="000000" w:themeColor="text1"/>
                <w:sz w:val="18"/>
                <w:szCs w:val="18"/>
              </w:rPr>
              <w:t>Indicator</w:t>
            </w:r>
          </w:p>
        </w:tc>
        <w:tc>
          <w:tcPr>
            <w:tcW w:w="992" w:type="dxa"/>
            <w:tcBorders>
              <w:bottom w:val="nil"/>
            </w:tcBorders>
            <w:vAlign w:val="center"/>
          </w:tcPr>
          <w:p w:rsidR="000236F4" w:rsidRPr="00644F0F" w:rsidRDefault="000236F4" w:rsidP="00191134">
            <w:pPr>
              <w:pStyle w:val="BodyText"/>
              <w:jc w:val="center"/>
              <w:rPr>
                <w:rFonts w:ascii="Arial" w:hAnsi="Arial" w:cs="Arial"/>
                <w:b/>
                <w:bCs/>
                <w:color w:val="000000" w:themeColor="text1"/>
                <w:sz w:val="18"/>
                <w:szCs w:val="18"/>
              </w:rPr>
            </w:pPr>
            <w:r w:rsidRPr="00644F0F">
              <w:rPr>
                <w:rFonts w:ascii="Arial" w:hAnsi="Arial" w:cs="Arial"/>
                <w:b/>
                <w:bCs/>
                <w:color w:val="000000" w:themeColor="text1"/>
                <w:sz w:val="18"/>
                <w:szCs w:val="18"/>
              </w:rPr>
              <w:t>2014</w:t>
            </w:r>
          </w:p>
        </w:tc>
        <w:tc>
          <w:tcPr>
            <w:tcW w:w="993" w:type="dxa"/>
            <w:tcBorders>
              <w:bottom w:val="nil"/>
            </w:tcBorders>
            <w:vAlign w:val="center"/>
          </w:tcPr>
          <w:p w:rsidR="000236F4" w:rsidRPr="00644F0F" w:rsidRDefault="000236F4" w:rsidP="00191134">
            <w:pPr>
              <w:pStyle w:val="BodyText"/>
              <w:jc w:val="center"/>
              <w:rPr>
                <w:rFonts w:ascii="Arial" w:hAnsi="Arial" w:cs="Arial"/>
                <w:b/>
                <w:bCs/>
                <w:color w:val="000000" w:themeColor="text1"/>
                <w:sz w:val="18"/>
                <w:szCs w:val="18"/>
              </w:rPr>
            </w:pPr>
            <w:r w:rsidRPr="00644F0F">
              <w:rPr>
                <w:rFonts w:ascii="Arial" w:hAnsi="Arial" w:cs="Arial"/>
                <w:b/>
                <w:bCs/>
                <w:color w:val="000000" w:themeColor="text1"/>
                <w:sz w:val="18"/>
                <w:szCs w:val="18"/>
              </w:rPr>
              <w:t>2015</w:t>
            </w:r>
          </w:p>
        </w:tc>
        <w:tc>
          <w:tcPr>
            <w:tcW w:w="992" w:type="dxa"/>
            <w:tcBorders>
              <w:bottom w:val="nil"/>
            </w:tcBorders>
            <w:vAlign w:val="center"/>
          </w:tcPr>
          <w:p w:rsidR="000236F4" w:rsidRPr="00644F0F" w:rsidRDefault="000236F4" w:rsidP="00191134">
            <w:pPr>
              <w:pStyle w:val="BodyText"/>
              <w:jc w:val="center"/>
              <w:rPr>
                <w:rFonts w:ascii="Arial" w:hAnsi="Arial" w:cs="Arial"/>
                <w:b/>
                <w:bCs/>
                <w:color w:val="000000" w:themeColor="text1"/>
                <w:sz w:val="18"/>
                <w:szCs w:val="18"/>
              </w:rPr>
            </w:pPr>
            <w:r w:rsidRPr="00644F0F">
              <w:rPr>
                <w:rFonts w:ascii="Arial" w:hAnsi="Arial" w:cs="Arial"/>
                <w:b/>
                <w:bCs/>
                <w:color w:val="000000" w:themeColor="text1"/>
                <w:sz w:val="18"/>
                <w:szCs w:val="18"/>
              </w:rPr>
              <w:t>2016</w:t>
            </w:r>
          </w:p>
        </w:tc>
        <w:tc>
          <w:tcPr>
            <w:tcW w:w="992" w:type="dxa"/>
            <w:tcBorders>
              <w:bottom w:val="nil"/>
            </w:tcBorders>
            <w:vAlign w:val="center"/>
          </w:tcPr>
          <w:p w:rsidR="000236F4" w:rsidRPr="00644F0F" w:rsidRDefault="000236F4" w:rsidP="00191134">
            <w:pPr>
              <w:pStyle w:val="BodyText"/>
              <w:jc w:val="center"/>
              <w:rPr>
                <w:rFonts w:ascii="Arial" w:hAnsi="Arial" w:cs="Arial"/>
                <w:b/>
                <w:bCs/>
                <w:color w:val="000000" w:themeColor="text1"/>
                <w:sz w:val="18"/>
                <w:szCs w:val="18"/>
              </w:rPr>
            </w:pPr>
            <w:r w:rsidRPr="00644F0F">
              <w:rPr>
                <w:rFonts w:ascii="Arial" w:hAnsi="Arial" w:cs="Arial"/>
                <w:b/>
                <w:bCs/>
                <w:color w:val="000000" w:themeColor="text1"/>
                <w:sz w:val="18"/>
                <w:szCs w:val="18"/>
              </w:rPr>
              <w:t>2017</w:t>
            </w:r>
          </w:p>
        </w:tc>
        <w:tc>
          <w:tcPr>
            <w:tcW w:w="992" w:type="dxa"/>
            <w:tcBorders>
              <w:bottom w:val="nil"/>
            </w:tcBorders>
            <w:vAlign w:val="center"/>
          </w:tcPr>
          <w:p w:rsidR="000236F4" w:rsidRPr="00644F0F" w:rsidRDefault="000236F4" w:rsidP="00AC358D">
            <w:pPr>
              <w:pStyle w:val="BodyText"/>
              <w:jc w:val="center"/>
              <w:rPr>
                <w:rFonts w:ascii="Arial" w:hAnsi="Arial" w:cs="Arial"/>
                <w:b/>
                <w:bCs/>
                <w:color w:val="000000" w:themeColor="text1"/>
                <w:sz w:val="18"/>
                <w:szCs w:val="18"/>
              </w:rPr>
            </w:pPr>
            <w:r w:rsidRPr="00644F0F">
              <w:rPr>
                <w:rFonts w:ascii="Arial" w:hAnsi="Arial" w:cs="Arial"/>
                <w:b/>
                <w:bCs/>
                <w:color w:val="000000" w:themeColor="text1"/>
                <w:sz w:val="18"/>
                <w:szCs w:val="18"/>
              </w:rPr>
              <w:t>2018</w:t>
            </w:r>
          </w:p>
        </w:tc>
      </w:tr>
      <w:tr w:rsidR="000236F4" w:rsidRPr="00644F0F" w:rsidTr="00A27CD1">
        <w:trPr>
          <w:trHeight w:val="317"/>
          <w:jc w:val="center"/>
        </w:trPr>
        <w:tc>
          <w:tcPr>
            <w:tcW w:w="4111" w:type="dxa"/>
            <w:tcBorders>
              <w:bottom w:val="nil"/>
            </w:tcBorders>
            <w:vAlign w:val="center"/>
          </w:tcPr>
          <w:p w:rsidR="000236F4" w:rsidRPr="00644F0F" w:rsidRDefault="000236F4" w:rsidP="007117F6">
            <w:pPr>
              <w:pStyle w:val="BodyText"/>
              <w:jc w:val="left"/>
              <w:rPr>
                <w:rFonts w:ascii="Arial" w:hAnsi="Arial" w:cs="Arial"/>
                <w:color w:val="000000" w:themeColor="text1"/>
                <w:sz w:val="18"/>
                <w:szCs w:val="18"/>
              </w:rPr>
            </w:pPr>
            <w:r w:rsidRPr="00644F0F">
              <w:rPr>
                <w:rFonts w:ascii="Arial" w:hAnsi="Arial" w:cs="Arial"/>
                <w:color w:val="000000" w:themeColor="text1"/>
                <w:sz w:val="18"/>
                <w:szCs w:val="18"/>
              </w:rPr>
              <w:t>Stock of Foreign Direct Investment in Palestine</w:t>
            </w:r>
          </w:p>
        </w:tc>
        <w:tc>
          <w:tcPr>
            <w:tcW w:w="992" w:type="dxa"/>
            <w:tcBorders>
              <w:bottom w:val="nil"/>
            </w:tcBorders>
            <w:vAlign w:val="center"/>
          </w:tcPr>
          <w:p w:rsidR="000236F4" w:rsidRPr="00644F0F" w:rsidRDefault="000236F4" w:rsidP="00191134">
            <w:pPr>
              <w:bidi/>
              <w:ind w:firstLine="194"/>
              <w:rPr>
                <w:rFonts w:ascii="Arial" w:hAnsi="Arial" w:cs="Arial"/>
                <w:color w:val="000000"/>
                <w:sz w:val="18"/>
                <w:szCs w:val="18"/>
              </w:rPr>
            </w:pPr>
            <w:r w:rsidRPr="00644F0F">
              <w:rPr>
                <w:rFonts w:ascii="Arial" w:hAnsi="Arial" w:cs="Arial"/>
                <w:color w:val="000000"/>
                <w:sz w:val="18"/>
                <w:szCs w:val="18"/>
              </w:rPr>
              <w:t>1,568</w:t>
            </w:r>
          </w:p>
        </w:tc>
        <w:tc>
          <w:tcPr>
            <w:tcW w:w="993" w:type="dxa"/>
            <w:tcBorders>
              <w:bottom w:val="nil"/>
            </w:tcBorders>
            <w:vAlign w:val="center"/>
          </w:tcPr>
          <w:p w:rsidR="000236F4" w:rsidRPr="00644F0F" w:rsidRDefault="000236F4" w:rsidP="00191134">
            <w:pPr>
              <w:bidi/>
              <w:ind w:firstLine="194"/>
              <w:rPr>
                <w:rFonts w:ascii="Arial" w:hAnsi="Arial" w:cs="Arial"/>
                <w:color w:val="000000"/>
                <w:sz w:val="18"/>
                <w:szCs w:val="18"/>
              </w:rPr>
            </w:pPr>
            <w:r w:rsidRPr="00644F0F">
              <w:rPr>
                <w:rFonts w:ascii="Arial" w:hAnsi="Arial" w:cs="Arial"/>
                <w:color w:val="000000"/>
                <w:sz w:val="18"/>
                <w:szCs w:val="18"/>
              </w:rPr>
              <w:t>1,573</w:t>
            </w:r>
          </w:p>
        </w:tc>
        <w:tc>
          <w:tcPr>
            <w:tcW w:w="992" w:type="dxa"/>
            <w:tcBorders>
              <w:bottom w:val="nil"/>
            </w:tcBorders>
            <w:vAlign w:val="center"/>
          </w:tcPr>
          <w:p w:rsidR="000236F4" w:rsidRPr="00644F0F" w:rsidRDefault="000236F4" w:rsidP="00191134">
            <w:pPr>
              <w:bidi/>
              <w:ind w:firstLine="194"/>
              <w:rPr>
                <w:rFonts w:ascii="Arial" w:hAnsi="Arial" w:cs="Arial"/>
                <w:color w:val="000000"/>
                <w:sz w:val="18"/>
                <w:szCs w:val="18"/>
              </w:rPr>
            </w:pPr>
            <w:r w:rsidRPr="00644F0F">
              <w:rPr>
                <w:rFonts w:ascii="Arial" w:hAnsi="Arial" w:cs="Arial"/>
                <w:color w:val="000000"/>
                <w:sz w:val="18"/>
                <w:szCs w:val="18"/>
              </w:rPr>
              <w:t>1,701</w:t>
            </w:r>
          </w:p>
        </w:tc>
        <w:tc>
          <w:tcPr>
            <w:tcW w:w="992" w:type="dxa"/>
            <w:tcBorders>
              <w:bottom w:val="nil"/>
            </w:tcBorders>
            <w:vAlign w:val="center"/>
          </w:tcPr>
          <w:p w:rsidR="000236F4" w:rsidRPr="00644F0F" w:rsidRDefault="000236F4" w:rsidP="00191134">
            <w:pPr>
              <w:bidi/>
              <w:ind w:firstLine="194"/>
              <w:rPr>
                <w:rFonts w:ascii="Arial" w:hAnsi="Arial" w:cs="Arial"/>
                <w:color w:val="000000"/>
                <w:sz w:val="18"/>
                <w:szCs w:val="18"/>
              </w:rPr>
            </w:pPr>
            <w:r w:rsidRPr="00644F0F">
              <w:rPr>
                <w:rFonts w:ascii="Arial" w:hAnsi="Arial" w:cs="Arial"/>
                <w:color w:val="000000"/>
                <w:sz w:val="18"/>
                <w:szCs w:val="18"/>
              </w:rPr>
              <w:t>1,669</w:t>
            </w:r>
          </w:p>
        </w:tc>
        <w:tc>
          <w:tcPr>
            <w:tcW w:w="992" w:type="dxa"/>
            <w:tcBorders>
              <w:bottom w:val="nil"/>
            </w:tcBorders>
            <w:vAlign w:val="center"/>
          </w:tcPr>
          <w:p w:rsidR="000236F4" w:rsidRPr="00644F0F" w:rsidRDefault="000236F4" w:rsidP="000236F4">
            <w:pPr>
              <w:bidi/>
              <w:ind w:firstLine="194"/>
              <w:rPr>
                <w:rFonts w:ascii="Arial" w:hAnsi="Arial" w:cs="Arial"/>
                <w:color w:val="000000"/>
                <w:sz w:val="18"/>
                <w:szCs w:val="18"/>
              </w:rPr>
            </w:pPr>
            <w:r w:rsidRPr="00644F0F">
              <w:rPr>
                <w:rFonts w:ascii="Arial" w:hAnsi="Arial" w:cs="Arial"/>
                <w:color w:val="000000"/>
                <w:sz w:val="18"/>
                <w:szCs w:val="18"/>
              </w:rPr>
              <w:t>1,758</w:t>
            </w:r>
          </w:p>
        </w:tc>
      </w:tr>
      <w:tr w:rsidR="000236F4" w:rsidRPr="00644F0F" w:rsidTr="00A27CD1">
        <w:trPr>
          <w:trHeight w:val="340"/>
          <w:jc w:val="center"/>
        </w:trPr>
        <w:tc>
          <w:tcPr>
            <w:tcW w:w="4111" w:type="dxa"/>
            <w:tcBorders>
              <w:top w:val="nil"/>
              <w:bottom w:val="nil"/>
            </w:tcBorders>
            <w:vAlign w:val="center"/>
          </w:tcPr>
          <w:p w:rsidR="000236F4" w:rsidRPr="00644F0F" w:rsidRDefault="000236F4" w:rsidP="007117F6">
            <w:pPr>
              <w:pStyle w:val="BodyText"/>
              <w:jc w:val="left"/>
              <w:rPr>
                <w:rFonts w:ascii="Arial" w:hAnsi="Arial" w:cs="Arial"/>
                <w:color w:val="000000" w:themeColor="text1"/>
                <w:sz w:val="18"/>
                <w:szCs w:val="18"/>
              </w:rPr>
            </w:pPr>
            <w:r w:rsidRPr="00644F0F">
              <w:rPr>
                <w:rFonts w:ascii="Arial" w:hAnsi="Arial" w:cs="Arial"/>
                <w:color w:val="000000" w:themeColor="text1"/>
                <w:sz w:val="18"/>
                <w:szCs w:val="18"/>
              </w:rPr>
              <w:t>Stock of Portfolio Investments in Palestine</w:t>
            </w:r>
          </w:p>
        </w:tc>
        <w:tc>
          <w:tcPr>
            <w:tcW w:w="992" w:type="dxa"/>
            <w:tcBorders>
              <w:top w:val="nil"/>
              <w:bottom w:val="nil"/>
            </w:tcBorders>
            <w:vAlign w:val="center"/>
          </w:tcPr>
          <w:p w:rsidR="000236F4" w:rsidRPr="00644F0F" w:rsidRDefault="000236F4" w:rsidP="00191134">
            <w:pPr>
              <w:bidi/>
              <w:ind w:firstLine="194"/>
              <w:rPr>
                <w:rFonts w:ascii="Arial" w:hAnsi="Arial" w:cs="Arial"/>
                <w:color w:val="000000"/>
                <w:sz w:val="18"/>
                <w:szCs w:val="18"/>
              </w:rPr>
            </w:pPr>
            <w:r w:rsidRPr="00644F0F">
              <w:rPr>
                <w:rFonts w:ascii="Arial" w:hAnsi="Arial" w:cs="Arial"/>
                <w:color w:val="000000"/>
                <w:sz w:val="18"/>
                <w:szCs w:val="18"/>
                <w:rtl/>
              </w:rPr>
              <w:t>725</w:t>
            </w:r>
          </w:p>
        </w:tc>
        <w:tc>
          <w:tcPr>
            <w:tcW w:w="993" w:type="dxa"/>
            <w:tcBorders>
              <w:top w:val="nil"/>
              <w:bottom w:val="nil"/>
            </w:tcBorders>
            <w:vAlign w:val="center"/>
          </w:tcPr>
          <w:p w:rsidR="000236F4" w:rsidRPr="00644F0F" w:rsidRDefault="000236F4" w:rsidP="00191134">
            <w:pPr>
              <w:bidi/>
              <w:ind w:firstLine="194"/>
              <w:rPr>
                <w:rFonts w:ascii="Arial" w:hAnsi="Arial" w:cs="Arial"/>
                <w:color w:val="000000"/>
                <w:sz w:val="18"/>
                <w:szCs w:val="18"/>
              </w:rPr>
            </w:pPr>
            <w:r w:rsidRPr="00644F0F">
              <w:rPr>
                <w:rFonts w:ascii="Arial" w:hAnsi="Arial" w:cs="Arial"/>
                <w:color w:val="000000"/>
                <w:sz w:val="18"/>
                <w:szCs w:val="18"/>
                <w:rtl/>
              </w:rPr>
              <w:t>821</w:t>
            </w:r>
          </w:p>
        </w:tc>
        <w:tc>
          <w:tcPr>
            <w:tcW w:w="992" w:type="dxa"/>
            <w:tcBorders>
              <w:top w:val="nil"/>
              <w:bottom w:val="nil"/>
            </w:tcBorders>
            <w:vAlign w:val="center"/>
          </w:tcPr>
          <w:p w:rsidR="000236F4" w:rsidRPr="00644F0F" w:rsidRDefault="000236F4" w:rsidP="00191134">
            <w:pPr>
              <w:bidi/>
              <w:ind w:firstLine="194"/>
              <w:rPr>
                <w:rFonts w:ascii="Arial" w:hAnsi="Arial" w:cs="Arial"/>
                <w:color w:val="000000"/>
                <w:sz w:val="18"/>
                <w:szCs w:val="18"/>
              </w:rPr>
            </w:pPr>
            <w:r w:rsidRPr="00644F0F">
              <w:rPr>
                <w:rFonts w:ascii="Arial" w:hAnsi="Arial" w:cs="Arial"/>
                <w:color w:val="000000"/>
                <w:sz w:val="18"/>
                <w:szCs w:val="18"/>
              </w:rPr>
              <w:t>658</w:t>
            </w:r>
          </w:p>
        </w:tc>
        <w:tc>
          <w:tcPr>
            <w:tcW w:w="992" w:type="dxa"/>
            <w:tcBorders>
              <w:top w:val="nil"/>
              <w:bottom w:val="nil"/>
            </w:tcBorders>
            <w:vAlign w:val="center"/>
          </w:tcPr>
          <w:p w:rsidR="000236F4" w:rsidRPr="00644F0F" w:rsidRDefault="000236F4" w:rsidP="00191134">
            <w:pPr>
              <w:bidi/>
              <w:ind w:firstLine="194"/>
              <w:rPr>
                <w:rFonts w:ascii="Arial" w:hAnsi="Arial" w:cs="Arial"/>
                <w:color w:val="000000"/>
                <w:sz w:val="18"/>
                <w:szCs w:val="18"/>
              </w:rPr>
            </w:pPr>
            <w:r w:rsidRPr="00644F0F">
              <w:rPr>
                <w:rFonts w:ascii="Arial" w:hAnsi="Arial" w:cs="Arial"/>
                <w:color w:val="000000"/>
                <w:sz w:val="18"/>
                <w:szCs w:val="18"/>
              </w:rPr>
              <w:t>703</w:t>
            </w:r>
          </w:p>
        </w:tc>
        <w:tc>
          <w:tcPr>
            <w:tcW w:w="992" w:type="dxa"/>
            <w:tcBorders>
              <w:top w:val="nil"/>
              <w:bottom w:val="nil"/>
            </w:tcBorders>
            <w:vAlign w:val="center"/>
          </w:tcPr>
          <w:p w:rsidR="000236F4" w:rsidRPr="00644F0F" w:rsidRDefault="000236F4" w:rsidP="00396AB6">
            <w:pPr>
              <w:bidi/>
              <w:ind w:firstLine="194"/>
              <w:rPr>
                <w:rFonts w:ascii="Arial" w:hAnsi="Arial" w:cs="Arial"/>
                <w:color w:val="000000"/>
                <w:sz w:val="18"/>
                <w:szCs w:val="18"/>
              </w:rPr>
            </w:pPr>
            <w:r w:rsidRPr="00644F0F">
              <w:rPr>
                <w:rFonts w:ascii="Arial" w:hAnsi="Arial" w:cs="Arial" w:hint="cs"/>
                <w:color w:val="000000"/>
                <w:sz w:val="18"/>
                <w:szCs w:val="18"/>
                <w:rtl/>
              </w:rPr>
              <w:t>728</w:t>
            </w:r>
          </w:p>
        </w:tc>
      </w:tr>
      <w:tr w:rsidR="000236F4" w:rsidRPr="00644F0F" w:rsidTr="00A27CD1">
        <w:trPr>
          <w:trHeight w:val="340"/>
          <w:jc w:val="center"/>
        </w:trPr>
        <w:tc>
          <w:tcPr>
            <w:tcW w:w="4111" w:type="dxa"/>
            <w:tcBorders>
              <w:top w:val="nil"/>
            </w:tcBorders>
            <w:vAlign w:val="center"/>
          </w:tcPr>
          <w:p w:rsidR="000236F4" w:rsidRPr="00644F0F" w:rsidRDefault="000236F4" w:rsidP="007117F6">
            <w:pPr>
              <w:pStyle w:val="BodyText"/>
              <w:jc w:val="left"/>
              <w:rPr>
                <w:rFonts w:ascii="Arial" w:hAnsi="Arial" w:cs="Arial"/>
                <w:color w:val="000000" w:themeColor="text1"/>
                <w:sz w:val="18"/>
                <w:szCs w:val="18"/>
              </w:rPr>
            </w:pPr>
            <w:r w:rsidRPr="00644F0F">
              <w:rPr>
                <w:rFonts w:ascii="Arial" w:hAnsi="Arial" w:cs="Arial"/>
                <w:color w:val="000000" w:themeColor="text1"/>
                <w:sz w:val="18"/>
                <w:szCs w:val="18"/>
              </w:rPr>
              <w:t>Stock of Other Investment In Palestine</w:t>
            </w:r>
          </w:p>
        </w:tc>
        <w:tc>
          <w:tcPr>
            <w:tcW w:w="992" w:type="dxa"/>
            <w:tcBorders>
              <w:top w:val="nil"/>
            </w:tcBorders>
            <w:vAlign w:val="center"/>
          </w:tcPr>
          <w:p w:rsidR="000236F4" w:rsidRPr="00644F0F" w:rsidRDefault="000236F4" w:rsidP="00191134">
            <w:pPr>
              <w:bidi/>
              <w:ind w:firstLine="194"/>
              <w:rPr>
                <w:rFonts w:ascii="Arial" w:hAnsi="Arial" w:cs="Arial"/>
                <w:color w:val="000000"/>
                <w:sz w:val="18"/>
                <w:szCs w:val="18"/>
              </w:rPr>
            </w:pPr>
            <w:r w:rsidRPr="00644F0F">
              <w:rPr>
                <w:rFonts w:ascii="Arial" w:hAnsi="Arial" w:cs="Arial"/>
                <w:color w:val="000000"/>
                <w:sz w:val="18"/>
                <w:szCs w:val="18"/>
              </w:rPr>
              <w:t>453</w:t>
            </w:r>
          </w:p>
        </w:tc>
        <w:tc>
          <w:tcPr>
            <w:tcW w:w="993" w:type="dxa"/>
            <w:tcBorders>
              <w:top w:val="nil"/>
            </w:tcBorders>
            <w:vAlign w:val="center"/>
          </w:tcPr>
          <w:p w:rsidR="000236F4" w:rsidRPr="00644F0F" w:rsidRDefault="000236F4" w:rsidP="00191134">
            <w:pPr>
              <w:bidi/>
              <w:ind w:firstLine="194"/>
              <w:rPr>
                <w:rFonts w:ascii="Arial" w:hAnsi="Arial" w:cs="Arial"/>
                <w:color w:val="000000"/>
                <w:sz w:val="18"/>
                <w:szCs w:val="18"/>
              </w:rPr>
            </w:pPr>
            <w:r w:rsidRPr="00644F0F">
              <w:rPr>
                <w:rFonts w:ascii="Arial" w:hAnsi="Arial" w:cs="Arial"/>
                <w:color w:val="000000"/>
                <w:sz w:val="18"/>
                <w:szCs w:val="18"/>
                <w:rtl/>
              </w:rPr>
              <w:t>593</w:t>
            </w:r>
          </w:p>
        </w:tc>
        <w:tc>
          <w:tcPr>
            <w:tcW w:w="992" w:type="dxa"/>
            <w:tcBorders>
              <w:top w:val="nil"/>
            </w:tcBorders>
            <w:vAlign w:val="center"/>
          </w:tcPr>
          <w:p w:rsidR="000236F4" w:rsidRPr="00644F0F" w:rsidRDefault="000236F4" w:rsidP="00191134">
            <w:pPr>
              <w:bidi/>
              <w:ind w:firstLine="194"/>
              <w:rPr>
                <w:rFonts w:ascii="Arial" w:hAnsi="Arial" w:cs="Arial"/>
                <w:color w:val="000000"/>
                <w:sz w:val="18"/>
                <w:szCs w:val="18"/>
              </w:rPr>
            </w:pPr>
            <w:r w:rsidRPr="00644F0F">
              <w:rPr>
                <w:rFonts w:ascii="Arial" w:hAnsi="Arial" w:cs="Arial"/>
                <w:color w:val="000000"/>
                <w:sz w:val="18"/>
                <w:szCs w:val="18"/>
              </w:rPr>
              <w:t>566</w:t>
            </w:r>
          </w:p>
        </w:tc>
        <w:tc>
          <w:tcPr>
            <w:tcW w:w="992" w:type="dxa"/>
            <w:tcBorders>
              <w:top w:val="nil"/>
            </w:tcBorders>
            <w:vAlign w:val="center"/>
          </w:tcPr>
          <w:p w:rsidR="000236F4" w:rsidRPr="00644F0F" w:rsidRDefault="000236F4" w:rsidP="00191134">
            <w:pPr>
              <w:bidi/>
              <w:ind w:firstLine="194"/>
              <w:rPr>
                <w:rFonts w:ascii="Arial" w:hAnsi="Arial" w:cs="Arial"/>
                <w:color w:val="000000"/>
                <w:sz w:val="18"/>
                <w:szCs w:val="18"/>
                <w:rtl/>
              </w:rPr>
            </w:pPr>
            <w:r w:rsidRPr="00644F0F">
              <w:rPr>
                <w:rFonts w:ascii="Arial" w:hAnsi="Arial" w:cs="Arial" w:hint="cs"/>
                <w:color w:val="000000"/>
                <w:sz w:val="18"/>
                <w:szCs w:val="18"/>
                <w:rtl/>
              </w:rPr>
              <w:t>645</w:t>
            </w:r>
          </w:p>
        </w:tc>
        <w:tc>
          <w:tcPr>
            <w:tcW w:w="992" w:type="dxa"/>
            <w:tcBorders>
              <w:top w:val="nil"/>
            </w:tcBorders>
            <w:vAlign w:val="center"/>
          </w:tcPr>
          <w:p w:rsidR="000236F4" w:rsidRPr="00644F0F" w:rsidRDefault="000236F4" w:rsidP="00A72566">
            <w:pPr>
              <w:bidi/>
              <w:ind w:firstLine="194"/>
              <w:rPr>
                <w:rFonts w:ascii="Arial" w:hAnsi="Arial" w:cs="Arial"/>
                <w:color w:val="000000"/>
                <w:sz w:val="18"/>
                <w:szCs w:val="18"/>
                <w:rtl/>
              </w:rPr>
            </w:pPr>
            <w:r w:rsidRPr="00644F0F">
              <w:rPr>
                <w:rFonts w:ascii="Arial" w:hAnsi="Arial" w:cs="Arial" w:hint="cs"/>
                <w:color w:val="000000"/>
                <w:sz w:val="18"/>
                <w:szCs w:val="18"/>
                <w:rtl/>
              </w:rPr>
              <w:t>453</w:t>
            </w:r>
          </w:p>
        </w:tc>
      </w:tr>
    </w:tbl>
    <w:p w:rsidR="000F61D4" w:rsidRPr="00A72566" w:rsidRDefault="000F61D4" w:rsidP="000F61D4">
      <w:pPr>
        <w:tabs>
          <w:tab w:val="num" w:pos="993"/>
        </w:tabs>
        <w:ind w:right="720"/>
        <w:jc w:val="both"/>
        <w:rPr>
          <w:color w:val="000000"/>
          <w:sz w:val="24"/>
          <w:szCs w:val="24"/>
        </w:rPr>
      </w:pPr>
    </w:p>
    <w:p w:rsidR="00E92005" w:rsidRPr="00A72566" w:rsidRDefault="00E92005" w:rsidP="00E92005">
      <w:pPr>
        <w:ind w:left="426" w:right="720"/>
        <w:jc w:val="both"/>
        <w:rPr>
          <w:sz w:val="16"/>
          <w:szCs w:val="16"/>
        </w:rPr>
      </w:pPr>
    </w:p>
    <w:sectPr w:rsidR="00E92005" w:rsidRPr="00A72566" w:rsidSect="00B13B60">
      <w:headerReference w:type="default" r:id="rId11"/>
      <w:footerReference w:type="even" r:id="rId12"/>
      <w:footerReference w:type="default" r:id="rId13"/>
      <w:pgSz w:w="11909" w:h="16834" w:code="9"/>
      <w:pgMar w:top="1418" w:right="1418" w:bottom="1418" w:left="1418" w:header="709" w:footer="709" w:gutter="0"/>
      <w:pgNumType w:start="15"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134" w:rsidRDefault="00191134">
      <w:r>
        <w:separator/>
      </w:r>
    </w:p>
  </w:endnote>
  <w:endnote w:type="continuationSeparator" w:id="0">
    <w:p w:rsidR="00191134" w:rsidRDefault="00191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134" w:rsidRDefault="00EB0C0D">
    <w:pPr>
      <w:pStyle w:val="Footer"/>
      <w:framePr w:wrap="around" w:vAnchor="text" w:hAnchor="margin" w:xAlign="center" w:y="1"/>
      <w:rPr>
        <w:rStyle w:val="PageNumber"/>
      </w:rPr>
    </w:pPr>
    <w:r>
      <w:rPr>
        <w:rStyle w:val="PageNumber"/>
      </w:rPr>
      <w:fldChar w:fldCharType="begin"/>
    </w:r>
    <w:r w:rsidR="00191134">
      <w:rPr>
        <w:rStyle w:val="PageNumber"/>
      </w:rPr>
      <w:instrText xml:space="preserve">PAGE  </w:instrText>
    </w:r>
    <w:r>
      <w:rPr>
        <w:rStyle w:val="PageNumber"/>
      </w:rPr>
      <w:fldChar w:fldCharType="end"/>
    </w:r>
  </w:p>
  <w:p w:rsidR="00191134" w:rsidRDefault="001911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134" w:rsidRPr="00963426" w:rsidRDefault="00191134">
    <w:pPr>
      <w:pStyle w:val="Footer"/>
      <w:jc w:val="center"/>
    </w:pPr>
    <w:r w:rsidRPr="00963426">
      <w:rPr>
        <w:color w:val="000000"/>
        <w:sz w:val="24"/>
        <w:szCs w:val="24"/>
      </w:rPr>
      <w:t>[</w:t>
    </w:r>
    <w:r w:rsidR="00FD52DE">
      <w:fldChar w:fldCharType="begin"/>
    </w:r>
    <w:r w:rsidR="00FD52DE">
      <w:instrText xml:space="preserve"> PAGE   \* MERGEFORMAT </w:instrText>
    </w:r>
    <w:r w:rsidR="00FD52DE">
      <w:fldChar w:fldCharType="separate"/>
    </w:r>
    <w:r w:rsidR="00FD52DE">
      <w:rPr>
        <w:noProof/>
      </w:rPr>
      <w:t>15</w:t>
    </w:r>
    <w:r w:rsidR="00FD52DE">
      <w:rPr>
        <w:noProof/>
      </w:rPr>
      <w:fldChar w:fldCharType="end"/>
    </w:r>
    <w:r w:rsidRPr="00963426">
      <w:rPr>
        <w:color w:val="000000"/>
        <w:sz w:val="24"/>
        <w:szCs w:val="24"/>
      </w:rPr>
      <w:t>]</w:t>
    </w:r>
  </w:p>
  <w:p w:rsidR="00191134" w:rsidRDefault="001911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134" w:rsidRDefault="00191134">
      <w:r>
        <w:separator/>
      </w:r>
    </w:p>
  </w:footnote>
  <w:footnote w:type="continuationSeparator" w:id="0">
    <w:p w:rsidR="00191134" w:rsidRDefault="001911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134" w:rsidRPr="0027117E" w:rsidRDefault="00191134" w:rsidP="00BC01CB">
    <w:pPr>
      <w:pStyle w:val="Header"/>
      <w:rPr>
        <w:rFonts w:ascii="Arial" w:hAnsi="Arial" w:cs="Arial"/>
        <w:sz w:val="16"/>
        <w:szCs w:val="16"/>
        <w:rtl/>
      </w:rPr>
    </w:pPr>
    <w:r w:rsidRPr="0027117E">
      <w:rPr>
        <w:rFonts w:ascii="Arial" w:hAnsi="Arial" w:cs="Arial"/>
        <w:sz w:val="16"/>
        <w:szCs w:val="16"/>
      </w:rPr>
      <w:t xml:space="preserve">PCBS &amp; PMA: </w:t>
    </w:r>
    <w:r w:rsidRPr="0027117E">
      <w:rPr>
        <w:rFonts w:ascii="Arial" w:hAnsi="Arial" w:cs="Arial"/>
        <w:color w:val="000000" w:themeColor="text1"/>
        <w:sz w:val="16"/>
        <w:szCs w:val="16"/>
      </w:rPr>
      <w:t>Foreign Investment Survey of Resident Enterprises in Palestine</w:t>
    </w:r>
    <w:r w:rsidRPr="0027117E">
      <w:rPr>
        <w:rFonts w:ascii="Arial" w:hAnsi="Arial" w:cs="Arial"/>
        <w:sz w:val="16"/>
        <w:szCs w:val="16"/>
      </w:rPr>
      <w:t>, 2018</w:t>
    </w:r>
  </w:p>
  <w:p w:rsidR="00191134" w:rsidRPr="00192602" w:rsidRDefault="00191134" w:rsidP="00481CBE">
    <w:pPr>
      <w:pStyle w:val="Header"/>
      <w:rPr>
        <w:sz w:val="16"/>
        <w:szCs w:val="16"/>
      </w:rPr>
    </w:pPr>
  </w:p>
  <w:p w:rsidR="00191134" w:rsidRDefault="001911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32B63"/>
    <w:multiLevelType w:val="hybridMultilevel"/>
    <w:tmpl w:val="4B267764"/>
    <w:lvl w:ilvl="0" w:tplc="AC724150">
      <w:start w:val="1"/>
      <w:numFmt w:val="bullet"/>
      <w:lvlText w:val=""/>
      <w:lvlJc w:val="center"/>
      <w:pPr>
        <w:tabs>
          <w:tab w:val="num" w:pos="644"/>
        </w:tabs>
        <w:ind w:left="217" w:right="217" w:hanging="217"/>
      </w:pPr>
      <w:rPr>
        <w:rFonts w:ascii="Symbol" w:hAnsi="Symbol" w:hint="default"/>
      </w:rPr>
    </w:lvl>
    <w:lvl w:ilvl="1" w:tplc="04090003" w:tentative="1">
      <w:start w:val="1"/>
      <w:numFmt w:val="bullet"/>
      <w:lvlText w:val="o"/>
      <w:lvlJc w:val="left"/>
      <w:pPr>
        <w:tabs>
          <w:tab w:val="num" w:pos="1724"/>
        </w:tabs>
        <w:ind w:left="1724" w:right="1724" w:hanging="360"/>
      </w:pPr>
      <w:rPr>
        <w:rFonts w:ascii="Courier New" w:hAnsi="Courier New" w:hint="default"/>
      </w:rPr>
    </w:lvl>
    <w:lvl w:ilvl="2" w:tplc="04090005" w:tentative="1">
      <w:start w:val="1"/>
      <w:numFmt w:val="bullet"/>
      <w:lvlText w:val=""/>
      <w:lvlJc w:val="left"/>
      <w:pPr>
        <w:tabs>
          <w:tab w:val="num" w:pos="2444"/>
        </w:tabs>
        <w:ind w:left="2444" w:right="2444" w:hanging="360"/>
      </w:pPr>
      <w:rPr>
        <w:rFonts w:ascii="Wingdings" w:hAnsi="Wingdings" w:hint="default"/>
      </w:rPr>
    </w:lvl>
    <w:lvl w:ilvl="3" w:tplc="04090001" w:tentative="1">
      <w:start w:val="1"/>
      <w:numFmt w:val="bullet"/>
      <w:lvlText w:val=""/>
      <w:lvlJc w:val="left"/>
      <w:pPr>
        <w:tabs>
          <w:tab w:val="num" w:pos="3164"/>
        </w:tabs>
        <w:ind w:left="3164" w:right="3164" w:hanging="360"/>
      </w:pPr>
      <w:rPr>
        <w:rFonts w:ascii="Symbol" w:hAnsi="Symbol" w:hint="default"/>
      </w:rPr>
    </w:lvl>
    <w:lvl w:ilvl="4" w:tplc="04090003" w:tentative="1">
      <w:start w:val="1"/>
      <w:numFmt w:val="bullet"/>
      <w:lvlText w:val="o"/>
      <w:lvlJc w:val="left"/>
      <w:pPr>
        <w:tabs>
          <w:tab w:val="num" w:pos="3884"/>
        </w:tabs>
        <w:ind w:left="3884" w:right="3884" w:hanging="360"/>
      </w:pPr>
      <w:rPr>
        <w:rFonts w:ascii="Courier New" w:hAnsi="Courier New" w:hint="default"/>
      </w:rPr>
    </w:lvl>
    <w:lvl w:ilvl="5" w:tplc="04090005" w:tentative="1">
      <w:start w:val="1"/>
      <w:numFmt w:val="bullet"/>
      <w:lvlText w:val=""/>
      <w:lvlJc w:val="left"/>
      <w:pPr>
        <w:tabs>
          <w:tab w:val="num" w:pos="4604"/>
        </w:tabs>
        <w:ind w:left="4604" w:right="4604" w:hanging="360"/>
      </w:pPr>
      <w:rPr>
        <w:rFonts w:ascii="Wingdings" w:hAnsi="Wingdings" w:hint="default"/>
      </w:rPr>
    </w:lvl>
    <w:lvl w:ilvl="6" w:tplc="04090001" w:tentative="1">
      <w:start w:val="1"/>
      <w:numFmt w:val="bullet"/>
      <w:lvlText w:val=""/>
      <w:lvlJc w:val="left"/>
      <w:pPr>
        <w:tabs>
          <w:tab w:val="num" w:pos="5324"/>
        </w:tabs>
        <w:ind w:left="5324" w:right="5324" w:hanging="360"/>
      </w:pPr>
      <w:rPr>
        <w:rFonts w:ascii="Symbol" w:hAnsi="Symbol" w:hint="default"/>
      </w:rPr>
    </w:lvl>
    <w:lvl w:ilvl="7" w:tplc="04090003" w:tentative="1">
      <w:start w:val="1"/>
      <w:numFmt w:val="bullet"/>
      <w:lvlText w:val="o"/>
      <w:lvlJc w:val="left"/>
      <w:pPr>
        <w:tabs>
          <w:tab w:val="num" w:pos="6044"/>
        </w:tabs>
        <w:ind w:left="6044" w:right="6044" w:hanging="360"/>
      </w:pPr>
      <w:rPr>
        <w:rFonts w:ascii="Courier New" w:hAnsi="Courier New" w:hint="default"/>
      </w:rPr>
    </w:lvl>
    <w:lvl w:ilvl="8" w:tplc="04090005" w:tentative="1">
      <w:start w:val="1"/>
      <w:numFmt w:val="bullet"/>
      <w:lvlText w:val=""/>
      <w:lvlJc w:val="left"/>
      <w:pPr>
        <w:tabs>
          <w:tab w:val="num" w:pos="6764"/>
        </w:tabs>
        <w:ind w:left="6764" w:right="6764" w:hanging="360"/>
      </w:pPr>
      <w:rPr>
        <w:rFonts w:ascii="Wingdings" w:hAnsi="Wingdings" w:hint="default"/>
      </w:rPr>
    </w:lvl>
  </w:abstractNum>
  <w:abstractNum w:abstractNumId="1">
    <w:nsid w:val="0261041F"/>
    <w:multiLevelType w:val="hybridMultilevel"/>
    <w:tmpl w:val="B664AE5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5A0FEB"/>
    <w:multiLevelType w:val="hybridMultilevel"/>
    <w:tmpl w:val="D56C3EF0"/>
    <w:lvl w:ilvl="0" w:tplc="04010001">
      <w:start w:val="1"/>
      <w:numFmt w:val="bullet"/>
      <w:lvlText w:val=""/>
      <w:lvlJc w:val="left"/>
      <w:pPr>
        <w:tabs>
          <w:tab w:val="num" w:pos="1080"/>
        </w:tabs>
        <w:ind w:left="1080" w:right="1080" w:hanging="360"/>
      </w:pPr>
      <w:rPr>
        <w:rFonts w:ascii="Symbol" w:hAnsi="Symbol" w:hint="default"/>
      </w:rPr>
    </w:lvl>
    <w:lvl w:ilvl="1" w:tplc="04010003">
      <w:start w:val="1"/>
      <w:numFmt w:val="bullet"/>
      <w:lvlText w:val="o"/>
      <w:lvlJc w:val="left"/>
      <w:pPr>
        <w:tabs>
          <w:tab w:val="num" w:pos="1800"/>
        </w:tabs>
        <w:ind w:left="1800" w:right="1800" w:hanging="360"/>
      </w:pPr>
      <w:rPr>
        <w:rFonts w:ascii="Courier New" w:hAnsi="Courier New" w:hint="default"/>
      </w:rPr>
    </w:lvl>
    <w:lvl w:ilvl="2" w:tplc="04010005">
      <w:start w:val="1"/>
      <w:numFmt w:val="bullet"/>
      <w:lvlText w:val=""/>
      <w:lvlJc w:val="left"/>
      <w:pPr>
        <w:tabs>
          <w:tab w:val="num" w:pos="2520"/>
        </w:tabs>
        <w:ind w:left="2520" w:right="2520" w:hanging="360"/>
      </w:pPr>
      <w:rPr>
        <w:rFonts w:ascii="Wingdings" w:hAnsi="Wingdings" w:hint="default"/>
      </w:rPr>
    </w:lvl>
    <w:lvl w:ilvl="3" w:tplc="04010001">
      <w:start w:val="1"/>
      <w:numFmt w:val="bullet"/>
      <w:lvlText w:val=""/>
      <w:lvlJc w:val="left"/>
      <w:pPr>
        <w:tabs>
          <w:tab w:val="num" w:pos="3240"/>
        </w:tabs>
        <w:ind w:left="3240" w:right="3240" w:hanging="360"/>
      </w:pPr>
      <w:rPr>
        <w:rFonts w:ascii="Symbol" w:hAnsi="Symbol" w:hint="default"/>
      </w:rPr>
    </w:lvl>
    <w:lvl w:ilvl="4" w:tplc="04010003">
      <w:start w:val="1"/>
      <w:numFmt w:val="bullet"/>
      <w:lvlText w:val="o"/>
      <w:lvlJc w:val="left"/>
      <w:pPr>
        <w:tabs>
          <w:tab w:val="num" w:pos="3960"/>
        </w:tabs>
        <w:ind w:left="3960" w:right="3960" w:hanging="360"/>
      </w:pPr>
      <w:rPr>
        <w:rFonts w:ascii="Courier New" w:hAnsi="Courier New" w:hint="default"/>
      </w:rPr>
    </w:lvl>
    <w:lvl w:ilvl="5" w:tplc="04010005" w:tentative="1">
      <w:start w:val="1"/>
      <w:numFmt w:val="bullet"/>
      <w:lvlText w:val=""/>
      <w:lvlJc w:val="left"/>
      <w:pPr>
        <w:tabs>
          <w:tab w:val="num" w:pos="4680"/>
        </w:tabs>
        <w:ind w:left="4680" w:right="4680" w:hanging="360"/>
      </w:pPr>
      <w:rPr>
        <w:rFonts w:ascii="Wingdings" w:hAnsi="Wingdings" w:hint="default"/>
      </w:rPr>
    </w:lvl>
    <w:lvl w:ilvl="6" w:tplc="04010001" w:tentative="1">
      <w:start w:val="1"/>
      <w:numFmt w:val="bullet"/>
      <w:lvlText w:val=""/>
      <w:lvlJc w:val="left"/>
      <w:pPr>
        <w:tabs>
          <w:tab w:val="num" w:pos="5400"/>
        </w:tabs>
        <w:ind w:left="5400" w:right="5400" w:hanging="360"/>
      </w:pPr>
      <w:rPr>
        <w:rFonts w:ascii="Symbol" w:hAnsi="Symbol" w:hint="default"/>
      </w:rPr>
    </w:lvl>
    <w:lvl w:ilvl="7" w:tplc="04010003" w:tentative="1">
      <w:start w:val="1"/>
      <w:numFmt w:val="bullet"/>
      <w:lvlText w:val="o"/>
      <w:lvlJc w:val="left"/>
      <w:pPr>
        <w:tabs>
          <w:tab w:val="num" w:pos="6120"/>
        </w:tabs>
        <w:ind w:left="6120" w:right="6120" w:hanging="360"/>
      </w:pPr>
      <w:rPr>
        <w:rFonts w:ascii="Courier New" w:hAnsi="Courier New" w:hint="default"/>
      </w:rPr>
    </w:lvl>
    <w:lvl w:ilvl="8" w:tplc="04010005" w:tentative="1">
      <w:start w:val="1"/>
      <w:numFmt w:val="bullet"/>
      <w:lvlText w:val=""/>
      <w:lvlJc w:val="left"/>
      <w:pPr>
        <w:tabs>
          <w:tab w:val="num" w:pos="6840"/>
        </w:tabs>
        <w:ind w:left="6840" w:right="6840" w:hanging="360"/>
      </w:pPr>
      <w:rPr>
        <w:rFonts w:ascii="Wingdings" w:hAnsi="Wingdings" w:hint="default"/>
      </w:rPr>
    </w:lvl>
  </w:abstractNum>
  <w:abstractNum w:abstractNumId="3">
    <w:nsid w:val="04612976"/>
    <w:multiLevelType w:val="singleLevel"/>
    <w:tmpl w:val="AC724150"/>
    <w:lvl w:ilvl="0">
      <w:start w:val="1"/>
      <w:numFmt w:val="bullet"/>
      <w:lvlText w:val=""/>
      <w:lvlJc w:val="center"/>
      <w:pPr>
        <w:tabs>
          <w:tab w:val="num" w:pos="360"/>
        </w:tabs>
        <w:ind w:left="217" w:right="217" w:hanging="217"/>
      </w:pPr>
      <w:rPr>
        <w:rFonts w:ascii="Symbol" w:hAnsi="Symbol" w:hint="default"/>
      </w:rPr>
    </w:lvl>
  </w:abstractNum>
  <w:abstractNum w:abstractNumId="4">
    <w:nsid w:val="05B51B3F"/>
    <w:multiLevelType w:val="hybridMultilevel"/>
    <w:tmpl w:val="EAECD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A9221E"/>
    <w:multiLevelType w:val="hybridMultilevel"/>
    <w:tmpl w:val="03B8FA28"/>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6">
    <w:nsid w:val="093746D1"/>
    <w:multiLevelType w:val="hybridMultilevel"/>
    <w:tmpl w:val="1068D360"/>
    <w:lvl w:ilvl="0" w:tplc="FAB45032">
      <w:start w:val="4"/>
      <w:numFmt w:val="bullet"/>
      <w:lvlText w:val="-"/>
      <w:lvlJc w:val="left"/>
      <w:pPr>
        <w:tabs>
          <w:tab w:val="num" w:pos="780"/>
        </w:tabs>
        <w:ind w:left="780" w:right="780" w:hanging="360"/>
      </w:pPr>
      <w:rPr>
        <w:rFonts w:ascii="Times New Roman" w:eastAsia="Times New Roman" w:hAnsi="Times New Roman" w:cs="Times New Roman" w:hint="default"/>
      </w:rPr>
    </w:lvl>
    <w:lvl w:ilvl="1" w:tplc="04090003" w:tentative="1">
      <w:start w:val="1"/>
      <w:numFmt w:val="bullet"/>
      <w:lvlText w:val="o"/>
      <w:lvlJc w:val="left"/>
      <w:pPr>
        <w:tabs>
          <w:tab w:val="num" w:pos="1500"/>
        </w:tabs>
        <w:ind w:left="1500" w:right="1500" w:hanging="360"/>
      </w:pPr>
      <w:rPr>
        <w:rFonts w:ascii="Courier New" w:hAnsi="Courier New" w:hint="default"/>
      </w:rPr>
    </w:lvl>
    <w:lvl w:ilvl="2" w:tplc="04090005" w:tentative="1">
      <w:start w:val="1"/>
      <w:numFmt w:val="bullet"/>
      <w:lvlText w:val=""/>
      <w:lvlJc w:val="left"/>
      <w:pPr>
        <w:tabs>
          <w:tab w:val="num" w:pos="2220"/>
        </w:tabs>
        <w:ind w:left="2220" w:right="2220" w:hanging="360"/>
      </w:pPr>
      <w:rPr>
        <w:rFonts w:ascii="Wingdings" w:hAnsi="Wingdings" w:hint="default"/>
      </w:rPr>
    </w:lvl>
    <w:lvl w:ilvl="3" w:tplc="04090001" w:tentative="1">
      <w:start w:val="1"/>
      <w:numFmt w:val="bullet"/>
      <w:lvlText w:val=""/>
      <w:lvlJc w:val="left"/>
      <w:pPr>
        <w:tabs>
          <w:tab w:val="num" w:pos="2940"/>
        </w:tabs>
        <w:ind w:left="2940" w:right="2940" w:hanging="360"/>
      </w:pPr>
      <w:rPr>
        <w:rFonts w:ascii="Symbol" w:hAnsi="Symbol" w:hint="default"/>
      </w:rPr>
    </w:lvl>
    <w:lvl w:ilvl="4" w:tplc="04090003" w:tentative="1">
      <w:start w:val="1"/>
      <w:numFmt w:val="bullet"/>
      <w:lvlText w:val="o"/>
      <w:lvlJc w:val="left"/>
      <w:pPr>
        <w:tabs>
          <w:tab w:val="num" w:pos="3660"/>
        </w:tabs>
        <w:ind w:left="3660" w:right="3660" w:hanging="360"/>
      </w:pPr>
      <w:rPr>
        <w:rFonts w:ascii="Courier New" w:hAnsi="Courier New" w:hint="default"/>
      </w:rPr>
    </w:lvl>
    <w:lvl w:ilvl="5" w:tplc="04090005" w:tentative="1">
      <w:start w:val="1"/>
      <w:numFmt w:val="bullet"/>
      <w:lvlText w:val=""/>
      <w:lvlJc w:val="left"/>
      <w:pPr>
        <w:tabs>
          <w:tab w:val="num" w:pos="4380"/>
        </w:tabs>
        <w:ind w:left="4380" w:right="4380" w:hanging="360"/>
      </w:pPr>
      <w:rPr>
        <w:rFonts w:ascii="Wingdings" w:hAnsi="Wingdings" w:hint="default"/>
      </w:rPr>
    </w:lvl>
    <w:lvl w:ilvl="6" w:tplc="04090001" w:tentative="1">
      <w:start w:val="1"/>
      <w:numFmt w:val="bullet"/>
      <w:lvlText w:val=""/>
      <w:lvlJc w:val="left"/>
      <w:pPr>
        <w:tabs>
          <w:tab w:val="num" w:pos="5100"/>
        </w:tabs>
        <w:ind w:left="5100" w:right="5100" w:hanging="360"/>
      </w:pPr>
      <w:rPr>
        <w:rFonts w:ascii="Symbol" w:hAnsi="Symbol" w:hint="default"/>
      </w:rPr>
    </w:lvl>
    <w:lvl w:ilvl="7" w:tplc="04090003" w:tentative="1">
      <w:start w:val="1"/>
      <w:numFmt w:val="bullet"/>
      <w:lvlText w:val="o"/>
      <w:lvlJc w:val="left"/>
      <w:pPr>
        <w:tabs>
          <w:tab w:val="num" w:pos="5820"/>
        </w:tabs>
        <w:ind w:left="5820" w:right="5820" w:hanging="360"/>
      </w:pPr>
      <w:rPr>
        <w:rFonts w:ascii="Courier New" w:hAnsi="Courier New" w:hint="default"/>
      </w:rPr>
    </w:lvl>
    <w:lvl w:ilvl="8" w:tplc="04090005" w:tentative="1">
      <w:start w:val="1"/>
      <w:numFmt w:val="bullet"/>
      <w:lvlText w:val=""/>
      <w:lvlJc w:val="left"/>
      <w:pPr>
        <w:tabs>
          <w:tab w:val="num" w:pos="6540"/>
        </w:tabs>
        <w:ind w:left="6540" w:right="6540" w:hanging="360"/>
      </w:pPr>
      <w:rPr>
        <w:rFonts w:ascii="Wingdings" w:hAnsi="Wingdings" w:hint="default"/>
      </w:rPr>
    </w:lvl>
  </w:abstractNum>
  <w:abstractNum w:abstractNumId="7">
    <w:nsid w:val="10B77C68"/>
    <w:multiLevelType w:val="multilevel"/>
    <w:tmpl w:val="C2FA7B00"/>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19B282F"/>
    <w:multiLevelType w:val="hybridMultilevel"/>
    <w:tmpl w:val="DBF02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394283"/>
    <w:multiLevelType w:val="hybridMultilevel"/>
    <w:tmpl w:val="C9C2AFB0"/>
    <w:lvl w:ilvl="0" w:tplc="04720910">
      <w:start w:val="1"/>
      <w:numFmt w:val="decimal"/>
      <w:lvlText w:val="%1."/>
      <w:legacy w:legacy="1" w:legacySpace="0" w:legacyIndent="283"/>
      <w:lvlJc w:val="center"/>
      <w:pPr>
        <w:ind w:left="565" w:right="565" w:hanging="283"/>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0">
    <w:nsid w:val="12A74B0E"/>
    <w:multiLevelType w:val="singleLevel"/>
    <w:tmpl w:val="384C0974"/>
    <w:lvl w:ilvl="0">
      <w:start w:val="1"/>
      <w:numFmt w:val="bullet"/>
      <w:lvlText w:val=""/>
      <w:lvlJc w:val="center"/>
      <w:pPr>
        <w:tabs>
          <w:tab w:val="num" w:pos="360"/>
        </w:tabs>
        <w:ind w:left="217" w:right="217" w:hanging="217"/>
      </w:pPr>
      <w:rPr>
        <w:rFonts w:ascii="Symbol" w:hAnsi="Symbol" w:hint="default"/>
        <w:b w:val="0"/>
        <w:i w:val="0"/>
        <w:sz w:val="24"/>
      </w:rPr>
    </w:lvl>
  </w:abstractNum>
  <w:abstractNum w:abstractNumId="11">
    <w:nsid w:val="179856E2"/>
    <w:multiLevelType w:val="multilevel"/>
    <w:tmpl w:val="D032A4FC"/>
    <w:lvl w:ilvl="0">
      <w:start w:val="1"/>
      <w:numFmt w:val="decimal"/>
      <w:lvlText w:val="%1."/>
      <w:lvlJc w:val="left"/>
      <w:pPr>
        <w:ind w:left="360" w:hanging="360"/>
      </w:pPr>
    </w:lvl>
    <w:lvl w:ilvl="1">
      <w:start w:val="5"/>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nsid w:val="17C52909"/>
    <w:multiLevelType w:val="hybridMultilevel"/>
    <w:tmpl w:val="11CC17B6"/>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3">
    <w:nsid w:val="19A16BDF"/>
    <w:multiLevelType w:val="hybridMultilevel"/>
    <w:tmpl w:val="1A74151A"/>
    <w:lvl w:ilvl="0" w:tplc="0409000F">
      <w:start w:val="1"/>
      <w:numFmt w:val="decimal"/>
      <w:lvlText w:val="%1."/>
      <w:lvlJc w:val="left"/>
      <w:pPr>
        <w:tabs>
          <w:tab w:val="num" w:pos="1004"/>
        </w:tabs>
        <w:ind w:left="1004" w:right="1004" w:hanging="360"/>
      </w:pPr>
    </w:lvl>
    <w:lvl w:ilvl="1" w:tplc="04090019" w:tentative="1">
      <w:start w:val="1"/>
      <w:numFmt w:val="lowerLetter"/>
      <w:lvlText w:val="%2."/>
      <w:lvlJc w:val="left"/>
      <w:pPr>
        <w:tabs>
          <w:tab w:val="num" w:pos="1724"/>
        </w:tabs>
        <w:ind w:left="1724" w:right="1724" w:hanging="360"/>
      </w:pPr>
    </w:lvl>
    <w:lvl w:ilvl="2" w:tplc="0409001B" w:tentative="1">
      <w:start w:val="1"/>
      <w:numFmt w:val="lowerRoman"/>
      <w:lvlText w:val="%3."/>
      <w:lvlJc w:val="right"/>
      <w:pPr>
        <w:tabs>
          <w:tab w:val="num" w:pos="2444"/>
        </w:tabs>
        <w:ind w:left="2444" w:right="2444" w:hanging="180"/>
      </w:pPr>
    </w:lvl>
    <w:lvl w:ilvl="3" w:tplc="0409000F" w:tentative="1">
      <w:start w:val="1"/>
      <w:numFmt w:val="decimal"/>
      <w:lvlText w:val="%4."/>
      <w:lvlJc w:val="left"/>
      <w:pPr>
        <w:tabs>
          <w:tab w:val="num" w:pos="3164"/>
        </w:tabs>
        <w:ind w:left="3164" w:right="3164" w:hanging="360"/>
      </w:pPr>
    </w:lvl>
    <w:lvl w:ilvl="4" w:tplc="04090019" w:tentative="1">
      <w:start w:val="1"/>
      <w:numFmt w:val="lowerLetter"/>
      <w:lvlText w:val="%5."/>
      <w:lvlJc w:val="left"/>
      <w:pPr>
        <w:tabs>
          <w:tab w:val="num" w:pos="3884"/>
        </w:tabs>
        <w:ind w:left="3884" w:right="3884" w:hanging="360"/>
      </w:pPr>
    </w:lvl>
    <w:lvl w:ilvl="5" w:tplc="0409001B" w:tentative="1">
      <w:start w:val="1"/>
      <w:numFmt w:val="lowerRoman"/>
      <w:lvlText w:val="%6."/>
      <w:lvlJc w:val="right"/>
      <w:pPr>
        <w:tabs>
          <w:tab w:val="num" w:pos="4604"/>
        </w:tabs>
        <w:ind w:left="4604" w:right="4604" w:hanging="180"/>
      </w:pPr>
    </w:lvl>
    <w:lvl w:ilvl="6" w:tplc="0409000F" w:tentative="1">
      <w:start w:val="1"/>
      <w:numFmt w:val="decimal"/>
      <w:lvlText w:val="%7."/>
      <w:lvlJc w:val="left"/>
      <w:pPr>
        <w:tabs>
          <w:tab w:val="num" w:pos="5324"/>
        </w:tabs>
        <w:ind w:left="5324" w:right="5324" w:hanging="360"/>
      </w:pPr>
    </w:lvl>
    <w:lvl w:ilvl="7" w:tplc="04090019" w:tentative="1">
      <w:start w:val="1"/>
      <w:numFmt w:val="lowerLetter"/>
      <w:lvlText w:val="%8."/>
      <w:lvlJc w:val="left"/>
      <w:pPr>
        <w:tabs>
          <w:tab w:val="num" w:pos="6044"/>
        </w:tabs>
        <w:ind w:left="6044" w:right="6044" w:hanging="360"/>
      </w:pPr>
    </w:lvl>
    <w:lvl w:ilvl="8" w:tplc="0409001B" w:tentative="1">
      <w:start w:val="1"/>
      <w:numFmt w:val="lowerRoman"/>
      <w:lvlText w:val="%9."/>
      <w:lvlJc w:val="right"/>
      <w:pPr>
        <w:tabs>
          <w:tab w:val="num" w:pos="6764"/>
        </w:tabs>
        <w:ind w:left="6764" w:right="6764" w:hanging="180"/>
      </w:pPr>
    </w:lvl>
  </w:abstractNum>
  <w:abstractNum w:abstractNumId="14">
    <w:nsid w:val="19C427DE"/>
    <w:multiLevelType w:val="hybridMultilevel"/>
    <w:tmpl w:val="595ED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AA555FF"/>
    <w:multiLevelType w:val="hybridMultilevel"/>
    <w:tmpl w:val="E482FE86"/>
    <w:lvl w:ilvl="0" w:tplc="04010001">
      <w:start w:val="1"/>
      <w:numFmt w:val="bullet"/>
      <w:lvlText w:val=""/>
      <w:lvlJc w:val="left"/>
      <w:pPr>
        <w:tabs>
          <w:tab w:val="num" w:pos="1740"/>
        </w:tabs>
        <w:ind w:left="1740" w:right="1740" w:hanging="360"/>
      </w:pPr>
      <w:rPr>
        <w:rFonts w:ascii="Symbol" w:hAnsi="Symbol" w:hint="default"/>
      </w:rPr>
    </w:lvl>
    <w:lvl w:ilvl="1" w:tplc="04010003" w:tentative="1">
      <w:start w:val="1"/>
      <w:numFmt w:val="bullet"/>
      <w:lvlText w:val="o"/>
      <w:lvlJc w:val="left"/>
      <w:pPr>
        <w:tabs>
          <w:tab w:val="num" w:pos="2460"/>
        </w:tabs>
        <w:ind w:left="2460" w:right="2460" w:hanging="360"/>
      </w:pPr>
      <w:rPr>
        <w:rFonts w:ascii="Courier New" w:hAnsi="Courier New" w:hint="default"/>
      </w:rPr>
    </w:lvl>
    <w:lvl w:ilvl="2" w:tplc="04010005" w:tentative="1">
      <w:start w:val="1"/>
      <w:numFmt w:val="bullet"/>
      <w:lvlText w:val=""/>
      <w:lvlJc w:val="left"/>
      <w:pPr>
        <w:tabs>
          <w:tab w:val="num" w:pos="3180"/>
        </w:tabs>
        <w:ind w:left="3180" w:right="3180" w:hanging="360"/>
      </w:pPr>
      <w:rPr>
        <w:rFonts w:ascii="Wingdings" w:hAnsi="Wingdings" w:hint="default"/>
      </w:rPr>
    </w:lvl>
    <w:lvl w:ilvl="3" w:tplc="04010001" w:tentative="1">
      <w:start w:val="1"/>
      <w:numFmt w:val="bullet"/>
      <w:lvlText w:val=""/>
      <w:lvlJc w:val="left"/>
      <w:pPr>
        <w:tabs>
          <w:tab w:val="num" w:pos="3900"/>
        </w:tabs>
        <w:ind w:left="3900" w:right="3900" w:hanging="360"/>
      </w:pPr>
      <w:rPr>
        <w:rFonts w:ascii="Symbol" w:hAnsi="Symbol" w:hint="default"/>
      </w:rPr>
    </w:lvl>
    <w:lvl w:ilvl="4" w:tplc="04010003" w:tentative="1">
      <w:start w:val="1"/>
      <w:numFmt w:val="bullet"/>
      <w:lvlText w:val="o"/>
      <w:lvlJc w:val="left"/>
      <w:pPr>
        <w:tabs>
          <w:tab w:val="num" w:pos="4620"/>
        </w:tabs>
        <w:ind w:left="4620" w:right="4620" w:hanging="360"/>
      </w:pPr>
      <w:rPr>
        <w:rFonts w:ascii="Courier New" w:hAnsi="Courier New" w:hint="default"/>
      </w:rPr>
    </w:lvl>
    <w:lvl w:ilvl="5" w:tplc="04010005" w:tentative="1">
      <w:start w:val="1"/>
      <w:numFmt w:val="bullet"/>
      <w:lvlText w:val=""/>
      <w:lvlJc w:val="left"/>
      <w:pPr>
        <w:tabs>
          <w:tab w:val="num" w:pos="5340"/>
        </w:tabs>
        <w:ind w:left="5340" w:right="5340" w:hanging="360"/>
      </w:pPr>
      <w:rPr>
        <w:rFonts w:ascii="Wingdings" w:hAnsi="Wingdings" w:hint="default"/>
      </w:rPr>
    </w:lvl>
    <w:lvl w:ilvl="6" w:tplc="04010001" w:tentative="1">
      <w:start w:val="1"/>
      <w:numFmt w:val="bullet"/>
      <w:lvlText w:val=""/>
      <w:lvlJc w:val="left"/>
      <w:pPr>
        <w:tabs>
          <w:tab w:val="num" w:pos="6060"/>
        </w:tabs>
        <w:ind w:left="6060" w:right="6060" w:hanging="360"/>
      </w:pPr>
      <w:rPr>
        <w:rFonts w:ascii="Symbol" w:hAnsi="Symbol" w:hint="default"/>
      </w:rPr>
    </w:lvl>
    <w:lvl w:ilvl="7" w:tplc="04010003" w:tentative="1">
      <w:start w:val="1"/>
      <w:numFmt w:val="bullet"/>
      <w:lvlText w:val="o"/>
      <w:lvlJc w:val="left"/>
      <w:pPr>
        <w:tabs>
          <w:tab w:val="num" w:pos="6780"/>
        </w:tabs>
        <w:ind w:left="6780" w:right="6780" w:hanging="360"/>
      </w:pPr>
      <w:rPr>
        <w:rFonts w:ascii="Courier New" w:hAnsi="Courier New" w:hint="default"/>
      </w:rPr>
    </w:lvl>
    <w:lvl w:ilvl="8" w:tplc="04010005" w:tentative="1">
      <w:start w:val="1"/>
      <w:numFmt w:val="bullet"/>
      <w:lvlText w:val=""/>
      <w:lvlJc w:val="left"/>
      <w:pPr>
        <w:tabs>
          <w:tab w:val="num" w:pos="7500"/>
        </w:tabs>
        <w:ind w:left="7500" w:right="7500" w:hanging="360"/>
      </w:pPr>
      <w:rPr>
        <w:rFonts w:ascii="Wingdings" w:hAnsi="Wingdings" w:hint="default"/>
      </w:rPr>
    </w:lvl>
  </w:abstractNum>
  <w:abstractNum w:abstractNumId="16">
    <w:nsid w:val="1D8F3783"/>
    <w:multiLevelType w:val="hybridMultilevel"/>
    <w:tmpl w:val="B6A8F198"/>
    <w:lvl w:ilvl="0" w:tplc="B41042EE">
      <w:start w:val="1"/>
      <w:numFmt w:val="bullet"/>
      <w:lvlText w:val=""/>
      <w:lvlJc w:val="left"/>
      <w:pPr>
        <w:tabs>
          <w:tab w:val="num" w:pos="990"/>
        </w:tabs>
        <w:ind w:left="990" w:right="990" w:hanging="360"/>
      </w:pPr>
      <w:rPr>
        <w:rFonts w:ascii="Symbol" w:hAnsi="Symbol" w:hint="default"/>
      </w:rPr>
    </w:lvl>
    <w:lvl w:ilvl="1" w:tplc="0401000F">
      <w:start w:val="1"/>
      <w:numFmt w:val="decimal"/>
      <w:lvlText w:val="%2."/>
      <w:lvlJc w:val="left"/>
      <w:pPr>
        <w:tabs>
          <w:tab w:val="num" w:pos="1710"/>
        </w:tabs>
        <w:ind w:left="1710" w:right="1710" w:hanging="360"/>
      </w:pPr>
    </w:lvl>
    <w:lvl w:ilvl="2" w:tplc="04010001">
      <w:start w:val="1"/>
      <w:numFmt w:val="bullet"/>
      <w:lvlText w:val=""/>
      <w:lvlJc w:val="left"/>
      <w:pPr>
        <w:tabs>
          <w:tab w:val="num" w:pos="2430"/>
        </w:tabs>
        <w:ind w:left="2430" w:right="2430" w:hanging="360"/>
      </w:pPr>
      <w:rPr>
        <w:rFonts w:ascii="Symbol" w:hAnsi="Symbol" w:hint="default"/>
      </w:rPr>
    </w:lvl>
    <w:lvl w:ilvl="3" w:tplc="04010001" w:tentative="1">
      <w:start w:val="1"/>
      <w:numFmt w:val="bullet"/>
      <w:lvlText w:val=""/>
      <w:lvlJc w:val="left"/>
      <w:pPr>
        <w:tabs>
          <w:tab w:val="num" w:pos="3150"/>
        </w:tabs>
        <w:ind w:left="3150" w:right="3150" w:hanging="360"/>
      </w:pPr>
      <w:rPr>
        <w:rFonts w:ascii="Symbol" w:hAnsi="Symbol" w:hint="default"/>
      </w:rPr>
    </w:lvl>
    <w:lvl w:ilvl="4" w:tplc="04010003">
      <w:start w:val="1"/>
      <w:numFmt w:val="bullet"/>
      <w:lvlText w:val="o"/>
      <w:lvlJc w:val="left"/>
      <w:pPr>
        <w:tabs>
          <w:tab w:val="num" w:pos="3870"/>
        </w:tabs>
        <w:ind w:left="3870" w:right="3870" w:hanging="360"/>
      </w:pPr>
      <w:rPr>
        <w:rFonts w:ascii="Courier New" w:hAnsi="Courier New" w:hint="default"/>
      </w:rPr>
    </w:lvl>
    <w:lvl w:ilvl="5" w:tplc="04010005" w:tentative="1">
      <w:start w:val="1"/>
      <w:numFmt w:val="bullet"/>
      <w:lvlText w:val=""/>
      <w:lvlJc w:val="left"/>
      <w:pPr>
        <w:tabs>
          <w:tab w:val="num" w:pos="4590"/>
        </w:tabs>
        <w:ind w:left="4590" w:right="4590" w:hanging="360"/>
      </w:pPr>
      <w:rPr>
        <w:rFonts w:ascii="Wingdings" w:hAnsi="Wingdings" w:hint="default"/>
      </w:rPr>
    </w:lvl>
    <w:lvl w:ilvl="6" w:tplc="04010001" w:tentative="1">
      <w:start w:val="1"/>
      <w:numFmt w:val="bullet"/>
      <w:lvlText w:val=""/>
      <w:lvlJc w:val="left"/>
      <w:pPr>
        <w:tabs>
          <w:tab w:val="num" w:pos="5310"/>
        </w:tabs>
        <w:ind w:left="5310" w:right="5310" w:hanging="360"/>
      </w:pPr>
      <w:rPr>
        <w:rFonts w:ascii="Symbol" w:hAnsi="Symbol" w:hint="default"/>
      </w:rPr>
    </w:lvl>
    <w:lvl w:ilvl="7" w:tplc="04010003" w:tentative="1">
      <w:start w:val="1"/>
      <w:numFmt w:val="bullet"/>
      <w:lvlText w:val="o"/>
      <w:lvlJc w:val="left"/>
      <w:pPr>
        <w:tabs>
          <w:tab w:val="num" w:pos="6030"/>
        </w:tabs>
        <w:ind w:left="6030" w:right="6030" w:hanging="360"/>
      </w:pPr>
      <w:rPr>
        <w:rFonts w:ascii="Courier New" w:hAnsi="Courier New" w:hint="default"/>
      </w:rPr>
    </w:lvl>
    <w:lvl w:ilvl="8" w:tplc="04010005" w:tentative="1">
      <w:start w:val="1"/>
      <w:numFmt w:val="bullet"/>
      <w:lvlText w:val=""/>
      <w:lvlJc w:val="left"/>
      <w:pPr>
        <w:tabs>
          <w:tab w:val="num" w:pos="6750"/>
        </w:tabs>
        <w:ind w:left="6750" w:right="6750" w:hanging="360"/>
      </w:pPr>
      <w:rPr>
        <w:rFonts w:ascii="Wingdings" w:hAnsi="Wingdings" w:hint="default"/>
      </w:rPr>
    </w:lvl>
  </w:abstractNum>
  <w:abstractNum w:abstractNumId="17">
    <w:nsid w:val="21712E7B"/>
    <w:multiLevelType w:val="hybridMultilevel"/>
    <w:tmpl w:val="E62CDA4E"/>
    <w:lvl w:ilvl="0" w:tplc="E786A9E2">
      <w:start w:val="4"/>
      <w:numFmt w:val="bullet"/>
      <w:lvlText w:val="-"/>
      <w:lvlJc w:val="left"/>
      <w:pPr>
        <w:tabs>
          <w:tab w:val="num" w:pos="780"/>
        </w:tabs>
        <w:ind w:left="780" w:right="780" w:hanging="360"/>
      </w:pPr>
      <w:rPr>
        <w:rFonts w:ascii="Times New Roman" w:eastAsia="Times New Roman" w:hAnsi="Times New Roman" w:cs="Times New Roman" w:hint="default"/>
      </w:rPr>
    </w:lvl>
    <w:lvl w:ilvl="1" w:tplc="04090003" w:tentative="1">
      <w:start w:val="1"/>
      <w:numFmt w:val="bullet"/>
      <w:lvlText w:val="o"/>
      <w:lvlJc w:val="left"/>
      <w:pPr>
        <w:tabs>
          <w:tab w:val="num" w:pos="1500"/>
        </w:tabs>
        <w:ind w:left="1500" w:right="1500" w:hanging="360"/>
      </w:pPr>
      <w:rPr>
        <w:rFonts w:ascii="Courier New" w:hAnsi="Courier New" w:hint="default"/>
      </w:rPr>
    </w:lvl>
    <w:lvl w:ilvl="2" w:tplc="04090005" w:tentative="1">
      <w:start w:val="1"/>
      <w:numFmt w:val="bullet"/>
      <w:lvlText w:val=""/>
      <w:lvlJc w:val="left"/>
      <w:pPr>
        <w:tabs>
          <w:tab w:val="num" w:pos="2220"/>
        </w:tabs>
        <w:ind w:left="2220" w:right="2220" w:hanging="360"/>
      </w:pPr>
      <w:rPr>
        <w:rFonts w:ascii="Wingdings" w:hAnsi="Wingdings" w:hint="default"/>
      </w:rPr>
    </w:lvl>
    <w:lvl w:ilvl="3" w:tplc="04090001" w:tentative="1">
      <w:start w:val="1"/>
      <w:numFmt w:val="bullet"/>
      <w:lvlText w:val=""/>
      <w:lvlJc w:val="left"/>
      <w:pPr>
        <w:tabs>
          <w:tab w:val="num" w:pos="2940"/>
        </w:tabs>
        <w:ind w:left="2940" w:right="2940" w:hanging="360"/>
      </w:pPr>
      <w:rPr>
        <w:rFonts w:ascii="Symbol" w:hAnsi="Symbol" w:hint="default"/>
      </w:rPr>
    </w:lvl>
    <w:lvl w:ilvl="4" w:tplc="04090003" w:tentative="1">
      <w:start w:val="1"/>
      <w:numFmt w:val="bullet"/>
      <w:lvlText w:val="o"/>
      <w:lvlJc w:val="left"/>
      <w:pPr>
        <w:tabs>
          <w:tab w:val="num" w:pos="3660"/>
        </w:tabs>
        <w:ind w:left="3660" w:right="3660" w:hanging="360"/>
      </w:pPr>
      <w:rPr>
        <w:rFonts w:ascii="Courier New" w:hAnsi="Courier New" w:hint="default"/>
      </w:rPr>
    </w:lvl>
    <w:lvl w:ilvl="5" w:tplc="04090005" w:tentative="1">
      <w:start w:val="1"/>
      <w:numFmt w:val="bullet"/>
      <w:lvlText w:val=""/>
      <w:lvlJc w:val="left"/>
      <w:pPr>
        <w:tabs>
          <w:tab w:val="num" w:pos="4380"/>
        </w:tabs>
        <w:ind w:left="4380" w:right="4380" w:hanging="360"/>
      </w:pPr>
      <w:rPr>
        <w:rFonts w:ascii="Wingdings" w:hAnsi="Wingdings" w:hint="default"/>
      </w:rPr>
    </w:lvl>
    <w:lvl w:ilvl="6" w:tplc="04090001" w:tentative="1">
      <w:start w:val="1"/>
      <w:numFmt w:val="bullet"/>
      <w:lvlText w:val=""/>
      <w:lvlJc w:val="left"/>
      <w:pPr>
        <w:tabs>
          <w:tab w:val="num" w:pos="5100"/>
        </w:tabs>
        <w:ind w:left="5100" w:right="5100" w:hanging="360"/>
      </w:pPr>
      <w:rPr>
        <w:rFonts w:ascii="Symbol" w:hAnsi="Symbol" w:hint="default"/>
      </w:rPr>
    </w:lvl>
    <w:lvl w:ilvl="7" w:tplc="04090003" w:tentative="1">
      <w:start w:val="1"/>
      <w:numFmt w:val="bullet"/>
      <w:lvlText w:val="o"/>
      <w:lvlJc w:val="left"/>
      <w:pPr>
        <w:tabs>
          <w:tab w:val="num" w:pos="5820"/>
        </w:tabs>
        <w:ind w:left="5820" w:right="5820" w:hanging="360"/>
      </w:pPr>
      <w:rPr>
        <w:rFonts w:ascii="Courier New" w:hAnsi="Courier New" w:hint="default"/>
      </w:rPr>
    </w:lvl>
    <w:lvl w:ilvl="8" w:tplc="04090005" w:tentative="1">
      <w:start w:val="1"/>
      <w:numFmt w:val="bullet"/>
      <w:lvlText w:val=""/>
      <w:lvlJc w:val="left"/>
      <w:pPr>
        <w:tabs>
          <w:tab w:val="num" w:pos="6540"/>
        </w:tabs>
        <w:ind w:left="6540" w:right="6540" w:hanging="360"/>
      </w:pPr>
      <w:rPr>
        <w:rFonts w:ascii="Wingdings" w:hAnsi="Wingdings" w:hint="default"/>
      </w:rPr>
    </w:lvl>
  </w:abstractNum>
  <w:abstractNum w:abstractNumId="18">
    <w:nsid w:val="24D52644"/>
    <w:multiLevelType w:val="hybridMultilevel"/>
    <w:tmpl w:val="7BF60314"/>
    <w:lvl w:ilvl="0" w:tplc="04010001">
      <w:start w:val="1"/>
      <w:numFmt w:val="bullet"/>
      <w:lvlText w:val=""/>
      <w:lvlJc w:val="left"/>
      <w:pPr>
        <w:tabs>
          <w:tab w:val="num" w:pos="246"/>
        </w:tabs>
        <w:ind w:left="246" w:right="246" w:hanging="360"/>
      </w:pPr>
      <w:rPr>
        <w:rFonts w:ascii="Symbol" w:hAnsi="Symbol" w:hint="default"/>
      </w:rPr>
    </w:lvl>
    <w:lvl w:ilvl="1" w:tplc="04720910">
      <w:start w:val="1"/>
      <w:numFmt w:val="decimal"/>
      <w:lvlText w:val="%2."/>
      <w:legacy w:legacy="1" w:legacySpace="360" w:legacyIndent="283"/>
      <w:lvlJc w:val="center"/>
      <w:pPr>
        <w:ind w:left="889" w:right="889" w:hanging="283"/>
      </w:pPr>
    </w:lvl>
    <w:lvl w:ilvl="2" w:tplc="04010001">
      <w:start w:val="1"/>
      <w:numFmt w:val="bullet"/>
      <w:lvlText w:val=""/>
      <w:lvlJc w:val="left"/>
      <w:pPr>
        <w:tabs>
          <w:tab w:val="num" w:pos="1686"/>
        </w:tabs>
        <w:ind w:left="1686" w:right="1686" w:hanging="360"/>
      </w:pPr>
      <w:rPr>
        <w:rFonts w:ascii="Symbol" w:hAnsi="Symbol" w:hint="default"/>
      </w:rPr>
    </w:lvl>
    <w:lvl w:ilvl="3" w:tplc="04720910">
      <w:start w:val="1"/>
      <w:numFmt w:val="decimal"/>
      <w:lvlText w:val="%4."/>
      <w:legacy w:legacy="1" w:legacySpace="360" w:legacyIndent="283"/>
      <w:lvlJc w:val="center"/>
      <w:pPr>
        <w:ind w:left="2329" w:right="2329" w:hanging="283"/>
      </w:pPr>
    </w:lvl>
    <w:lvl w:ilvl="4" w:tplc="04010003" w:tentative="1">
      <w:start w:val="1"/>
      <w:numFmt w:val="bullet"/>
      <w:lvlText w:val="o"/>
      <w:lvlJc w:val="left"/>
      <w:pPr>
        <w:tabs>
          <w:tab w:val="num" w:pos="3126"/>
        </w:tabs>
        <w:ind w:left="3126" w:right="3126" w:hanging="360"/>
      </w:pPr>
      <w:rPr>
        <w:rFonts w:ascii="Courier New" w:hAnsi="Courier New" w:hint="default"/>
      </w:rPr>
    </w:lvl>
    <w:lvl w:ilvl="5" w:tplc="04010005" w:tentative="1">
      <w:start w:val="1"/>
      <w:numFmt w:val="bullet"/>
      <w:lvlText w:val=""/>
      <w:lvlJc w:val="left"/>
      <w:pPr>
        <w:tabs>
          <w:tab w:val="num" w:pos="3846"/>
        </w:tabs>
        <w:ind w:left="3846" w:right="3846" w:hanging="360"/>
      </w:pPr>
      <w:rPr>
        <w:rFonts w:ascii="Wingdings" w:hAnsi="Wingdings" w:hint="default"/>
      </w:rPr>
    </w:lvl>
    <w:lvl w:ilvl="6" w:tplc="04010001" w:tentative="1">
      <w:start w:val="1"/>
      <w:numFmt w:val="bullet"/>
      <w:lvlText w:val=""/>
      <w:lvlJc w:val="left"/>
      <w:pPr>
        <w:tabs>
          <w:tab w:val="num" w:pos="4566"/>
        </w:tabs>
        <w:ind w:left="4566" w:right="4566" w:hanging="360"/>
      </w:pPr>
      <w:rPr>
        <w:rFonts w:ascii="Symbol" w:hAnsi="Symbol" w:hint="default"/>
      </w:rPr>
    </w:lvl>
    <w:lvl w:ilvl="7" w:tplc="04010003" w:tentative="1">
      <w:start w:val="1"/>
      <w:numFmt w:val="bullet"/>
      <w:lvlText w:val="o"/>
      <w:lvlJc w:val="left"/>
      <w:pPr>
        <w:tabs>
          <w:tab w:val="num" w:pos="5286"/>
        </w:tabs>
        <w:ind w:left="5286" w:right="5286" w:hanging="360"/>
      </w:pPr>
      <w:rPr>
        <w:rFonts w:ascii="Courier New" w:hAnsi="Courier New" w:hint="default"/>
      </w:rPr>
    </w:lvl>
    <w:lvl w:ilvl="8" w:tplc="04010005" w:tentative="1">
      <w:start w:val="1"/>
      <w:numFmt w:val="bullet"/>
      <w:lvlText w:val=""/>
      <w:lvlJc w:val="left"/>
      <w:pPr>
        <w:tabs>
          <w:tab w:val="num" w:pos="6006"/>
        </w:tabs>
        <w:ind w:left="6006" w:right="6006" w:hanging="360"/>
      </w:pPr>
      <w:rPr>
        <w:rFonts w:ascii="Wingdings" w:hAnsi="Wingdings" w:hint="default"/>
      </w:rPr>
    </w:lvl>
  </w:abstractNum>
  <w:abstractNum w:abstractNumId="19">
    <w:nsid w:val="25AA28F8"/>
    <w:multiLevelType w:val="hybridMultilevel"/>
    <w:tmpl w:val="BDD2B96A"/>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0">
    <w:nsid w:val="30026896"/>
    <w:multiLevelType w:val="hybridMultilevel"/>
    <w:tmpl w:val="CEA0772A"/>
    <w:lvl w:ilvl="0" w:tplc="850ED45E">
      <w:start w:val="7"/>
      <w:numFmt w:val="decimal"/>
      <w:lvlText w:val="%1."/>
      <w:lvlJc w:val="left"/>
      <w:pPr>
        <w:tabs>
          <w:tab w:val="num" w:pos="536"/>
        </w:tabs>
        <w:ind w:left="536" w:right="536" w:hanging="360"/>
      </w:pPr>
      <w:rPr>
        <w:rFonts w:hint="default"/>
      </w:rPr>
    </w:lvl>
    <w:lvl w:ilvl="1" w:tplc="04090019" w:tentative="1">
      <w:start w:val="1"/>
      <w:numFmt w:val="lowerLetter"/>
      <w:lvlText w:val="%2."/>
      <w:lvlJc w:val="left"/>
      <w:pPr>
        <w:tabs>
          <w:tab w:val="num" w:pos="1256"/>
        </w:tabs>
        <w:ind w:left="1256" w:right="1256" w:hanging="360"/>
      </w:pPr>
    </w:lvl>
    <w:lvl w:ilvl="2" w:tplc="0409001B" w:tentative="1">
      <w:start w:val="1"/>
      <w:numFmt w:val="lowerRoman"/>
      <w:lvlText w:val="%3."/>
      <w:lvlJc w:val="right"/>
      <w:pPr>
        <w:tabs>
          <w:tab w:val="num" w:pos="1976"/>
        </w:tabs>
        <w:ind w:left="1976" w:right="1976" w:hanging="180"/>
      </w:pPr>
    </w:lvl>
    <w:lvl w:ilvl="3" w:tplc="0409000F" w:tentative="1">
      <w:start w:val="1"/>
      <w:numFmt w:val="decimal"/>
      <w:lvlText w:val="%4."/>
      <w:lvlJc w:val="left"/>
      <w:pPr>
        <w:tabs>
          <w:tab w:val="num" w:pos="2696"/>
        </w:tabs>
        <w:ind w:left="2696" w:right="2696" w:hanging="360"/>
      </w:pPr>
    </w:lvl>
    <w:lvl w:ilvl="4" w:tplc="04090019" w:tentative="1">
      <w:start w:val="1"/>
      <w:numFmt w:val="lowerLetter"/>
      <w:lvlText w:val="%5."/>
      <w:lvlJc w:val="left"/>
      <w:pPr>
        <w:tabs>
          <w:tab w:val="num" w:pos="3416"/>
        </w:tabs>
        <w:ind w:left="3416" w:right="3416" w:hanging="360"/>
      </w:pPr>
    </w:lvl>
    <w:lvl w:ilvl="5" w:tplc="0409001B" w:tentative="1">
      <w:start w:val="1"/>
      <w:numFmt w:val="lowerRoman"/>
      <w:lvlText w:val="%6."/>
      <w:lvlJc w:val="right"/>
      <w:pPr>
        <w:tabs>
          <w:tab w:val="num" w:pos="4136"/>
        </w:tabs>
        <w:ind w:left="4136" w:right="4136" w:hanging="180"/>
      </w:pPr>
    </w:lvl>
    <w:lvl w:ilvl="6" w:tplc="0409000F" w:tentative="1">
      <w:start w:val="1"/>
      <w:numFmt w:val="decimal"/>
      <w:lvlText w:val="%7."/>
      <w:lvlJc w:val="left"/>
      <w:pPr>
        <w:tabs>
          <w:tab w:val="num" w:pos="4856"/>
        </w:tabs>
        <w:ind w:left="4856" w:right="4856" w:hanging="360"/>
      </w:pPr>
    </w:lvl>
    <w:lvl w:ilvl="7" w:tplc="04090019" w:tentative="1">
      <w:start w:val="1"/>
      <w:numFmt w:val="lowerLetter"/>
      <w:lvlText w:val="%8."/>
      <w:lvlJc w:val="left"/>
      <w:pPr>
        <w:tabs>
          <w:tab w:val="num" w:pos="5576"/>
        </w:tabs>
        <w:ind w:left="5576" w:right="5576" w:hanging="360"/>
      </w:pPr>
    </w:lvl>
    <w:lvl w:ilvl="8" w:tplc="0409001B" w:tentative="1">
      <w:start w:val="1"/>
      <w:numFmt w:val="lowerRoman"/>
      <w:lvlText w:val="%9."/>
      <w:lvlJc w:val="right"/>
      <w:pPr>
        <w:tabs>
          <w:tab w:val="num" w:pos="6296"/>
        </w:tabs>
        <w:ind w:left="6296" w:right="6296" w:hanging="180"/>
      </w:pPr>
    </w:lvl>
  </w:abstractNum>
  <w:abstractNum w:abstractNumId="21">
    <w:nsid w:val="30DB7EC0"/>
    <w:multiLevelType w:val="multilevel"/>
    <w:tmpl w:val="0EA2CDBE"/>
    <w:lvl w:ilvl="0">
      <w:start w:val="5"/>
      <w:numFmt w:val="decimal"/>
      <w:lvlText w:val="%1."/>
      <w:lvlJc w:val="center"/>
      <w:pPr>
        <w:tabs>
          <w:tab w:val="num" w:pos="648"/>
        </w:tabs>
        <w:ind w:left="360" w:right="360" w:hanging="72"/>
      </w:pPr>
      <w:rPr>
        <w:rFonts w:ascii="Times New Roman" w:hAnsi="Times New Roman" w:hint="default"/>
        <w:b/>
        <w:i w:val="0"/>
        <w:sz w:val="24"/>
      </w:rPr>
    </w:lvl>
    <w:lvl w:ilvl="1">
      <w:start w:val="2"/>
      <w:numFmt w:val="decimal"/>
      <w:isLgl/>
      <w:lvlText w:val="%1.%2"/>
      <w:lvlJc w:val="left"/>
      <w:pPr>
        <w:tabs>
          <w:tab w:val="num" w:pos="828"/>
        </w:tabs>
        <w:ind w:left="828" w:right="828" w:hanging="540"/>
      </w:pPr>
      <w:rPr>
        <w:rFonts w:hint="default"/>
      </w:rPr>
    </w:lvl>
    <w:lvl w:ilvl="2">
      <w:start w:val="3"/>
      <w:numFmt w:val="decimal"/>
      <w:isLgl/>
      <w:lvlText w:val="%1.%2.%3"/>
      <w:lvlJc w:val="left"/>
      <w:pPr>
        <w:tabs>
          <w:tab w:val="num" w:pos="1008"/>
        </w:tabs>
        <w:ind w:left="1008" w:right="1008" w:hanging="720"/>
      </w:pPr>
      <w:rPr>
        <w:rFonts w:hint="default"/>
      </w:rPr>
    </w:lvl>
    <w:lvl w:ilvl="3">
      <w:start w:val="1"/>
      <w:numFmt w:val="decimal"/>
      <w:isLgl/>
      <w:lvlText w:val="%1.%2.%3.%4"/>
      <w:lvlJc w:val="left"/>
      <w:pPr>
        <w:tabs>
          <w:tab w:val="num" w:pos="1008"/>
        </w:tabs>
        <w:ind w:left="1008" w:right="1008" w:hanging="720"/>
      </w:pPr>
      <w:rPr>
        <w:rFonts w:hint="default"/>
      </w:rPr>
    </w:lvl>
    <w:lvl w:ilvl="4">
      <w:start w:val="1"/>
      <w:numFmt w:val="decimal"/>
      <w:isLgl/>
      <w:lvlText w:val="%1.%2.%3.%4.%5"/>
      <w:lvlJc w:val="left"/>
      <w:pPr>
        <w:tabs>
          <w:tab w:val="num" w:pos="1368"/>
        </w:tabs>
        <w:ind w:left="1368" w:right="1368" w:hanging="1080"/>
      </w:pPr>
      <w:rPr>
        <w:rFonts w:hint="default"/>
      </w:rPr>
    </w:lvl>
    <w:lvl w:ilvl="5">
      <w:start w:val="1"/>
      <w:numFmt w:val="decimal"/>
      <w:isLgl/>
      <w:lvlText w:val="%1.%2.%3.%4.%5.%6"/>
      <w:lvlJc w:val="left"/>
      <w:pPr>
        <w:tabs>
          <w:tab w:val="num" w:pos="1368"/>
        </w:tabs>
        <w:ind w:left="1368" w:right="1368" w:hanging="1080"/>
      </w:pPr>
      <w:rPr>
        <w:rFonts w:hint="default"/>
      </w:rPr>
    </w:lvl>
    <w:lvl w:ilvl="6">
      <w:start w:val="1"/>
      <w:numFmt w:val="decimal"/>
      <w:isLgl/>
      <w:lvlText w:val="%1.%2.%3.%4.%5.%6.%7"/>
      <w:lvlJc w:val="left"/>
      <w:pPr>
        <w:tabs>
          <w:tab w:val="num" w:pos="1728"/>
        </w:tabs>
        <w:ind w:left="1728" w:right="1728" w:hanging="1440"/>
      </w:pPr>
      <w:rPr>
        <w:rFonts w:hint="default"/>
      </w:rPr>
    </w:lvl>
    <w:lvl w:ilvl="7">
      <w:start w:val="1"/>
      <w:numFmt w:val="decimal"/>
      <w:isLgl/>
      <w:lvlText w:val="%1.%2.%3.%4.%5.%6.%7.%8"/>
      <w:lvlJc w:val="left"/>
      <w:pPr>
        <w:tabs>
          <w:tab w:val="num" w:pos="1728"/>
        </w:tabs>
        <w:ind w:left="1728" w:right="1728" w:hanging="1440"/>
      </w:pPr>
      <w:rPr>
        <w:rFonts w:hint="default"/>
      </w:rPr>
    </w:lvl>
    <w:lvl w:ilvl="8">
      <w:start w:val="1"/>
      <w:numFmt w:val="decimal"/>
      <w:isLgl/>
      <w:lvlText w:val="%1.%2.%3.%4.%5.%6.%7.%8.%9"/>
      <w:lvlJc w:val="left"/>
      <w:pPr>
        <w:tabs>
          <w:tab w:val="num" w:pos="2088"/>
        </w:tabs>
        <w:ind w:left="2088" w:right="2088" w:hanging="1800"/>
      </w:pPr>
      <w:rPr>
        <w:rFonts w:hint="default"/>
      </w:rPr>
    </w:lvl>
  </w:abstractNum>
  <w:abstractNum w:abstractNumId="22">
    <w:nsid w:val="343C0D70"/>
    <w:multiLevelType w:val="hybridMultilevel"/>
    <w:tmpl w:val="D580475A"/>
    <w:lvl w:ilvl="0" w:tplc="140C8986">
      <w:start w:val="6"/>
      <w:numFmt w:val="decimal"/>
      <w:lvlText w:val="%1."/>
      <w:lvlJc w:val="left"/>
      <w:pPr>
        <w:tabs>
          <w:tab w:val="num" w:pos="720"/>
        </w:tabs>
        <w:ind w:left="720" w:right="72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3">
    <w:nsid w:val="3A1D23BD"/>
    <w:multiLevelType w:val="hybridMultilevel"/>
    <w:tmpl w:val="6CB840AE"/>
    <w:lvl w:ilvl="0" w:tplc="0409000F">
      <w:start w:val="1"/>
      <w:numFmt w:val="decimal"/>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4">
    <w:nsid w:val="3B3A6F87"/>
    <w:multiLevelType w:val="singleLevel"/>
    <w:tmpl w:val="D85E2564"/>
    <w:lvl w:ilvl="0">
      <w:start w:val="1"/>
      <w:numFmt w:val="chosung"/>
      <w:lvlText w:val=""/>
      <w:lvlJc w:val="left"/>
      <w:pPr>
        <w:tabs>
          <w:tab w:val="num" w:pos="360"/>
        </w:tabs>
        <w:ind w:left="360" w:right="360" w:hanging="360"/>
      </w:pPr>
      <w:rPr>
        <w:rFonts w:ascii="Symbol" w:hAnsi="Symbol" w:hint="default"/>
      </w:rPr>
    </w:lvl>
  </w:abstractNum>
  <w:abstractNum w:abstractNumId="25">
    <w:nsid w:val="3B415F0B"/>
    <w:multiLevelType w:val="hybridMultilevel"/>
    <w:tmpl w:val="AF5AA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C9D09EC"/>
    <w:multiLevelType w:val="hybridMultilevel"/>
    <w:tmpl w:val="CC1A9B54"/>
    <w:lvl w:ilvl="0" w:tplc="04010001">
      <w:start w:val="1"/>
      <w:numFmt w:val="bullet"/>
      <w:lvlText w:val=""/>
      <w:lvlJc w:val="left"/>
      <w:pPr>
        <w:tabs>
          <w:tab w:val="num" w:pos="502"/>
        </w:tabs>
        <w:ind w:left="502" w:right="990" w:hanging="360"/>
      </w:pPr>
      <w:rPr>
        <w:rFonts w:ascii="Symbol" w:hAnsi="Symbol" w:hint="default"/>
      </w:rPr>
    </w:lvl>
    <w:lvl w:ilvl="1" w:tplc="0401000F">
      <w:start w:val="1"/>
      <w:numFmt w:val="decimal"/>
      <w:lvlText w:val="%2."/>
      <w:lvlJc w:val="left"/>
      <w:pPr>
        <w:tabs>
          <w:tab w:val="num" w:pos="1710"/>
        </w:tabs>
        <w:ind w:left="1710" w:right="1710" w:hanging="360"/>
      </w:pPr>
    </w:lvl>
    <w:lvl w:ilvl="2" w:tplc="04010001">
      <w:start w:val="1"/>
      <w:numFmt w:val="bullet"/>
      <w:lvlText w:val=""/>
      <w:lvlJc w:val="left"/>
      <w:pPr>
        <w:tabs>
          <w:tab w:val="num" w:pos="2430"/>
        </w:tabs>
        <w:ind w:left="2430" w:right="2430" w:hanging="360"/>
      </w:pPr>
      <w:rPr>
        <w:rFonts w:ascii="Symbol" w:hAnsi="Symbol" w:hint="default"/>
      </w:rPr>
    </w:lvl>
    <w:lvl w:ilvl="3" w:tplc="04010001" w:tentative="1">
      <w:start w:val="1"/>
      <w:numFmt w:val="bullet"/>
      <w:lvlText w:val=""/>
      <w:lvlJc w:val="left"/>
      <w:pPr>
        <w:tabs>
          <w:tab w:val="num" w:pos="3150"/>
        </w:tabs>
        <w:ind w:left="3150" w:right="3150" w:hanging="360"/>
      </w:pPr>
      <w:rPr>
        <w:rFonts w:ascii="Symbol" w:hAnsi="Symbol" w:hint="default"/>
      </w:rPr>
    </w:lvl>
    <w:lvl w:ilvl="4" w:tplc="04010003">
      <w:start w:val="1"/>
      <w:numFmt w:val="bullet"/>
      <w:lvlText w:val="o"/>
      <w:lvlJc w:val="left"/>
      <w:pPr>
        <w:tabs>
          <w:tab w:val="num" w:pos="3870"/>
        </w:tabs>
        <w:ind w:left="3870" w:right="3870" w:hanging="360"/>
      </w:pPr>
      <w:rPr>
        <w:rFonts w:ascii="Courier New" w:hAnsi="Courier New" w:hint="default"/>
      </w:rPr>
    </w:lvl>
    <w:lvl w:ilvl="5" w:tplc="04010005" w:tentative="1">
      <w:start w:val="1"/>
      <w:numFmt w:val="bullet"/>
      <w:lvlText w:val=""/>
      <w:lvlJc w:val="left"/>
      <w:pPr>
        <w:tabs>
          <w:tab w:val="num" w:pos="4590"/>
        </w:tabs>
        <w:ind w:left="4590" w:right="4590" w:hanging="360"/>
      </w:pPr>
      <w:rPr>
        <w:rFonts w:ascii="Wingdings" w:hAnsi="Wingdings" w:hint="default"/>
      </w:rPr>
    </w:lvl>
    <w:lvl w:ilvl="6" w:tplc="04010001" w:tentative="1">
      <w:start w:val="1"/>
      <w:numFmt w:val="bullet"/>
      <w:lvlText w:val=""/>
      <w:lvlJc w:val="left"/>
      <w:pPr>
        <w:tabs>
          <w:tab w:val="num" w:pos="5310"/>
        </w:tabs>
        <w:ind w:left="5310" w:right="5310" w:hanging="360"/>
      </w:pPr>
      <w:rPr>
        <w:rFonts w:ascii="Symbol" w:hAnsi="Symbol" w:hint="default"/>
      </w:rPr>
    </w:lvl>
    <w:lvl w:ilvl="7" w:tplc="04010003" w:tentative="1">
      <w:start w:val="1"/>
      <w:numFmt w:val="bullet"/>
      <w:lvlText w:val="o"/>
      <w:lvlJc w:val="left"/>
      <w:pPr>
        <w:tabs>
          <w:tab w:val="num" w:pos="6030"/>
        </w:tabs>
        <w:ind w:left="6030" w:right="6030" w:hanging="360"/>
      </w:pPr>
      <w:rPr>
        <w:rFonts w:ascii="Courier New" w:hAnsi="Courier New" w:hint="default"/>
      </w:rPr>
    </w:lvl>
    <w:lvl w:ilvl="8" w:tplc="04010005" w:tentative="1">
      <w:start w:val="1"/>
      <w:numFmt w:val="bullet"/>
      <w:lvlText w:val=""/>
      <w:lvlJc w:val="left"/>
      <w:pPr>
        <w:tabs>
          <w:tab w:val="num" w:pos="6750"/>
        </w:tabs>
        <w:ind w:left="6750" w:right="6750" w:hanging="360"/>
      </w:pPr>
      <w:rPr>
        <w:rFonts w:ascii="Wingdings" w:hAnsi="Wingdings" w:hint="default"/>
      </w:rPr>
    </w:lvl>
  </w:abstractNum>
  <w:abstractNum w:abstractNumId="27">
    <w:nsid w:val="402C074B"/>
    <w:multiLevelType w:val="singleLevel"/>
    <w:tmpl w:val="04090001"/>
    <w:lvl w:ilvl="0">
      <w:start w:val="1"/>
      <w:numFmt w:val="bullet"/>
      <w:lvlText w:val=""/>
      <w:lvlJc w:val="left"/>
      <w:pPr>
        <w:ind w:left="360" w:hanging="360"/>
      </w:pPr>
      <w:rPr>
        <w:rFonts w:ascii="Symbol" w:hAnsi="Symbol" w:hint="default"/>
        <w:b w:val="0"/>
        <w:i w:val="0"/>
        <w:sz w:val="24"/>
      </w:rPr>
    </w:lvl>
  </w:abstractNum>
  <w:abstractNum w:abstractNumId="28">
    <w:nsid w:val="40802B77"/>
    <w:multiLevelType w:val="hybridMultilevel"/>
    <w:tmpl w:val="7F267BF6"/>
    <w:lvl w:ilvl="0" w:tplc="04090001">
      <w:start w:val="1"/>
      <w:numFmt w:val="bullet"/>
      <w:lvlText w:val=""/>
      <w:lvlJc w:val="left"/>
      <w:pPr>
        <w:tabs>
          <w:tab w:val="num" w:pos="862"/>
        </w:tabs>
        <w:ind w:left="862" w:right="862" w:hanging="360"/>
      </w:pPr>
      <w:rPr>
        <w:rFonts w:ascii="Symbol" w:hAnsi="Symbol" w:hint="default"/>
      </w:rPr>
    </w:lvl>
    <w:lvl w:ilvl="1" w:tplc="04010003" w:tentative="1">
      <w:start w:val="1"/>
      <w:numFmt w:val="bullet"/>
      <w:lvlText w:val="o"/>
      <w:lvlJc w:val="left"/>
      <w:pPr>
        <w:tabs>
          <w:tab w:val="num" w:pos="1582"/>
        </w:tabs>
        <w:ind w:left="1582" w:right="1582" w:hanging="360"/>
      </w:pPr>
      <w:rPr>
        <w:rFonts w:ascii="Courier New" w:hAnsi="Courier New" w:hint="default"/>
      </w:rPr>
    </w:lvl>
    <w:lvl w:ilvl="2" w:tplc="04010005" w:tentative="1">
      <w:start w:val="1"/>
      <w:numFmt w:val="bullet"/>
      <w:lvlText w:val=""/>
      <w:lvlJc w:val="left"/>
      <w:pPr>
        <w:tabs>
          <w:tab w:val="num" w:pos="2302"/>
        </w:tabs>
        <w:ind w:left="2302" w:right="2302" w:hanging="360"/>
      </w:pPr>
      <w:rPr>
        <w:rFonts w:ascii="Wingdings" w:hAnsi="Wingdings" w:hint="default"/>
      </w:rPr>
    </w:lvl>
    <w:lvl w:ilvl="3" w:tplc="04010001" w:tentative="1">
      <w:start w:val="1"/>
      <w:numFmt w:val="bullet"/>
      <w:lvlText w:val=""/>
      <w:lvlJc w:val="left"/>
      <w:pPr>
        <w:tabs>
          <w:tab w:val="num" w:pos="3022"/>
        </w:tabs>
        <w:ind w:left="3022" w:right="3022" w:hanging="360"/>
      </w:pPr>
      <w:rPr>
        <w:rFonts w:ascii="Symbol" w:hAnsi="Symbol" w:hint="default"/>
      </w:rPr>
    </w:lvl>
    <w:lvl w:ilvl="4" w:tplc="04010003" w:tentative="1">
      <w:start w:val="1"/>
      <w:numFmt w:val="bullet"/>
      <w:lvlText w:val="o"/>
      <w:lvlJc w:val="left"/>
      <w:pPr>
        <w:tabs>
          <w:tab w:val="num" w:pos="3742"/>
        </w:tabs>
        <w:ind w:left="3742" w:right="3742" w:hanging="360"/>
      </w:pPr>
      <w:rPr>
        <w:rFonts w:ascii="Courier New" w:hAnsi="Courier New" w:hint="default"/>
      </w:rPr>
    </w:lvl>
    <w:lvl w:ilvl="5" w:tplc="04010005" w:tentative="1">
      <w:start w:val="1"/>
      <w:numFmt w:val="bullet"/>
      <w:lvlText w:val=""/>
      <w:lvlJc w:val="left"/>
      <w:pPr>
        <w:tabs>
          <w:tab w:val="num" w:pos="4462"/>
        </w:tabs>
        <w:ind w:left="4462" w:right="4462" w:hanging="360"/>
      </w:pPr>
      <w:rPr>
        <w:rFonts w:ascii="Wingdings" w:hAnsi="Wingdings" w:hint="default"/>
      </w:rPr>
    </w:lvl>
    <w:lvl w:ilvl="6" w:tplc="04010001" w:tentative="1">
      <w:start w:val="1"/>
      <w:numFmt w:val="bullet"/>
      <w:lvlText w:val=""/>
      <w:lvlJc w:val="left"/>
      <w:pPr>
        <w:tabs>
          <w:tab w:val="num" w:pos="5182"/>
        </w:tabs>
        <w:ind w:left="5182" w:right="5182" w:hanging="360"/>
      </w:pPr>
      <w:rPr>
        <w:rFonts w:ascii="Symbol" w:hAnsi="Symbol" w:hint="default"/>
      </w:rPr>
    </w:lvl>
    <w:lvl w:ilvl="7" w:tplc="04010003" w:tentative="1">
      <w:start w:val="1"/>
      <w:numFmt w:val="bullet"/>
      <w:lvlText w:val="o"/>
      <w:lvlJc w:val="left"/>
      <w:pPr>
        <w:tabs>
          <w:tab w:val="num" w:pos="5902"/>
        </w:tabs>
        <w:ind w:left="5902" w:right="5902" w:hanging="360"/>
      </w:pPr>
      <w:rPr>
        <w:rFonts w:ascii="Courier New" w:hAnsi="Courier New" w:hint="default"/>
      </w:rPr>
    </w:lvl>
    <w:lvl w:ilvl="8" w:tplc="04010005" w:tentative="1">
      <w:start w:val="1"/>
      <w:numFmt w:val="bullet"/>
      <w:lvlText w:val=""/>
      <w:lvlJc w:val="left"/>
      <w:pPr>
        <w:tabs>
          <w:tab w:val="num" w:pos="6622"/>
        </w:tabs>
        <w:ind w:left="6622" w:right="6622" w:hanging="360"/>
      </w:pPr>
      <w:rPr>
        <w:rFonts w:ascii="Wingdings" w:hAnsi="Wingdings" w:hint="default"/>
      </w:rPr>
    </w:lvl>
  </w:abstractNum>
  <w:abstractNum w:abstractNumId="29">
    <w:nsid w:val="40CA3986"/>
    <w:multiLevelType w:val="hybridMultilevel"/>
    <w:tmpl w:val="D6703E8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A20636E"/>
    <w:multiLevelType w:val="hybridMultilevel"/>
    <w:tmpl w:val="947863E4"/>
    <w:lvl w:ilvl="0" w:tplc="616CF7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A2E1442"/>
    <w:multiLevelType w:val="hybridMultilevel"/>
    <w:tmpl w:val="96549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B622C69"/>
    <w:multiLevelType w:val="hybridMultilevel"/>
    <w:tmpl w:val="FCD04E82"/>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33">
    <w:nsid w:val="56F65C30"/>
    <w:multiLevelType w:val="multilevel"/>
    <w:tmpl w:val="D9A2D708"/>
    <w:lvl w:ilvl="0">
      <w:start w:val="4"/>
      <w:numFmt w:val="decimal"/>
      <w:lvlText w:val="%1"/>
      <w:lvlJc w:val="left"/>
      <w:pPr>
        <w:tabs>
          <w:tab w:val="num" w:pos="600"/>
        </w:tabs>
        <w:ind w:left="600" w:right="600" w:hanging="600"/>
      </w:pPr>
      <w:rPr>
        <w:rFonts w:hint="default"/>
      </w:rPr>
    </w:lvl>
    <w:lvl w:ilvl="1">
      <w:start w:val="2"/>
      <w:numFmt w:val="decimal"/>
      <w:lvlText w:val="%1.%2"/>
      <w:lvlJc w:val="left"/>
      <w:pPr>
        <w:tabs>
          <w:tab w:val="num" w:pos="600"/>
        </w:tabs>
        <w:ind w:left="600" w:right="600" w:hanging="600"/>
      </w:pPr>
      <w:rPr>
        <w:rFonts w:hint="default"/>
      </w:rPr>
    </w:lvl>
    <w:lvl w:ilvl="2">
      <w:start w:val="3"/>
      <w:numFmt w:val="decimal"/>
      <w:lvlText w:val="%1.%2.%3"/>
      <w:lvlJc w:val="left"/>
      <w:pPr>
        <w:tabs>
          <w:tab w:val="num" w:pos="720"/>
        </w:tabs>
        <w:ind w:left="720" w:right="720" w:hanging="720"/>
      </w:pPr>
      <w:rPr>
        <w:rFonts w:hint="default"/>
      </w:rPr>
    </w:lvl>
    <w:lvl w:ilvl="3">
      <w:start w:val="1"/>
      <w:numFmt w:val="decimal"/>
      <w:lvlText w:val="%1.%2.%3.%4"/>
      <w:lvlJc w:val="left"/>
      <w:pPr>
        <w:tabs>
          <w:tab w:val="num" w:pos="720"/>
        </w:tabs>
        <w:ind w:left="720" w:right="720" w:hanging="720"/>
      </w:pPr>
      <w:rPr>
        <w:rFonts w:hint="default"/>
      </w:rPr>
    </w:lvl>
    <w:lvl w:ilvl="4">
      <w:start w:val="1"/>
      <w:numFmt w:val="decimal"/>
      <w:lvlText w:val="%1.%2.%3.%4.%5"/>
      <w:lvlJc w:val="left"/>
      <w:pPr>
        <w:tabs>
          <w:tab w:val="num" w:pos="1080"/>
        </w:tabs>
        <w:ind w:left="1080" w:right="1080" w:hanging="1080"/>
      </w:pPr>
      <w:rPr>
        <w:rFonts w:hint="default"/>
      </w:rPr>
    </w:lvl>
    <w:lvl w:ilvl="5">
      <w:start w:val="1"/>
      <w:numFmt w:val="decimal"/>
      <w:lvlText w:val="%1.%2.%3.%4.%5.%6"/>
      <w:lvlJc w:val="left"/>
      <w:pPr>
        <w:tabs>
          <w:tab w:val="num" w:pos="1080"/>
        </w:tabs>
        <w:ind w:left="1080" w:right="1080" w:hanging="1080"/>
      </w:pPr>
      <w:rPr>
        <w:rFonts w:hint="default"/>
      </w:rPr>
    </w:lvl>
    <w:lvl w:ilvl="6">
      <w:start w:val="1"/>
      <w:numFmt w:val="decimal"/>
      <w:lvlText w:val="%1.%2.%3.%4.%5.%6.%7"/>
      <w:lvlJc w:val="left"/>
      <w:pPr>
        <w:tabs>
          <w:tab w:val="num" w:pos="1440"/>
        </w:tabs>
        <w:ind w:left="1440" w:right="1440" w:hanging="1440"/>
      </w:pPr>
      <w:rPr>
        <w:rFonts w:hint="default"/>
      </w:rPr>
    </w:lvl>
    <w:lvl w:ilvl="7">
      <w:start w:val="1"/>
      <w:numFmt w:val="decimal"/>
      <w:lvlText w:val="%1.%2.%3.%4.%5.%6.%7.%8"/>
      <w:lvlJc w:val="left"/>
      <w:pPr>
        <w:tabs>
          <w:tab w:val="num" w:pos="1440"/>
        </w:tabs>
        <w:ind w:left="1440" w:right="1440" w:hanging="1440"/>
      </w:pPr>
      <w:rPr>
        <w:rFonts w:hint="default"/>
      </w:rPr>
    </w:lvl>
    <w:lvl w:ilvl="8">
      <w:start w:val="1"/>
      <w:numFmt w:val="decimal"/>
      <w:lvlText w:val="%1.%2.%3.%4.%5.%6.%7.%8.%9"/>
      <w:lvlJc w:val="left"/>
      <w:pPr>
        <w:tabs>
          <w:tab w:val="num" w:pos="1800"/>
        </w:tabs>
        <w:ind w:left="1800" w:right="1800" w:hanging="1800"/>
      </w:pPr>
      <w:rPr>
        <w:rFonts w:hint="default"/>
      </w:rPr>
    </w:lvl>
  </w:abstractNum>
  <w:abstractNum w:abstractNumId="34">
    <w:nsid w:val="5ED721D1"/>
    <w:multiLevelType w:val="hybridMultilevel"/>
    <w:tmpl w:val="F9D85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4A259F"/>
    <w:multiLevelType w:val="hybridMultilevel"/>
    <w:tmpl w:val="63AAD1A6"/>
    <w:lvl w:ilvl="0" w:tplc="24B46894">
      <w:start w:val="8"/>
      <w:numFmt w:val="bullet"/>
      <w:lvlText w:val="-"/>
      <w:lvlJc w:val="left"/>
      <w:pPr>
        <w:tabs>
          <w:tab w:val="num" w:pos="1778"/>
        </w:tabs>
        <w:ind w:left="1778" w:right="1778" w:hanging="360"/>
      </w:pPr>
      <w:rPr>
        <w:rFonts w:ascii="Times New Roman" w:eastAsia="Times New Roman" w:hAnsi="Times New Roman" w:hint="default"/>
      </w:rPr>
    </w:lvl>
    <w:lvl w:ilvl="1" w:tplc="04010003">
      <w:start w:val="1"/>
      <w:numFmt w:val="bullet"/>
      <w:lvlText w:val="o"/>
      <w:lvlJc w:val="left"/>
      <w:pPr>
        <w:tabs>
          <w:tab w:val="num" w:pos="2498"/>
        </w:tabs>
        <w:ind w:left="2498" w:right="2498" w:hanging="360"/>
      </w:pPr>
      <w:rPr>
        <w:rFonts w:ascii="Courier New" w:hAnsi="Courier New" w:cs="Courier New" w:hint="default"/>
      </w:rPr>
    </w:lvl>
    <w:lvl w:ilvl="2" w:tplc="04010005">
      <w:start w:val="1"/>
      <w:numFmt w:val="bullet"/>
      <w:lvlText w:val=""/>
      <w:lvlJc w:val="left"/>
      <w:pPr>
        <w:tabs>
          <w:tab w:val="num" w:pos="3218"/>
        </w:tabs>
        <w:ind w:left="3218" w:right="3218" w:hanging="360"/>
      </w:pPr>
      <w:rPr>
        <w:rFonts w:ascii="Wingdings" w:hAnsi="Wingdings" w:cs="Times New Roman" w:hint="default"/>
      </w:rPr>
    </w:lvl>
    <w:lvl w:ilvl="3" w:tplc="04010001">
      <w:start w:val="1"/>
      <w:numFmt w:val="bullet"/>
      <w:lvlText w:val=""/>
      <w:lvlJc w:val="left"/>
      <w:pPr>
        <w:tabs>
          <w:tab w:val="num" w:pos="3938"/>
        </w:tabs>
        <w:ind w:left="3938" w:right="3938" w:hanging="360"/>
      </w:pPr>
      <w:rPr>
        <w:rFonts w:ascii="Symbol" w:hAnsi="Symbol" w:cs="Times New Roman" w:hint="default"/>
      </w:rPr>
    </w:lvl>
    <w:lvl w:ilvl="4" w:tplc="04010003">
      <w:start w:val="1"/>
      <w:numFmt w:val="bullet"/>
      <w:lvlText w:val="o"/>
      <w:lvlJc w:val="left"/>
      <w:pPr>
        <w:tabs>
          <w:tab w:val="num" w:pos="4658"/>
        </w:tabs>
        <w:ind w:left="4658" w:right="4658" w:hanging="360"/>
      </w:pPr>
      <w:rPr>
        <w:rFonts w:ascii="Courier New" w:hAnsi="Courier New" w:cs="Courier New" w:hint="default"/>
      </w:rPr>
    </w:lvl>
    <w:lvl w:ilvl="5" w:tplc="04010005">
      <w:start w:val="1"/>
      <w:numFmt w:val="bullet"/>
      <w:lvlText w:val=""/>
      <w:lvlJc w:val="left"/>
      <w:pPr>
        <w:tabs>
          <w:tab w:val="num" w:pos="5378"/>
        </w:tabs>
        <w:ind w:left="5378" w:right="5378" w:hanging="360"/>
      </w:pPr>
      <w:rPr>
        <w:rFonts w:ascii="Wingdings" w:hAnsi="Wingdings" w:cs="Times New Roman" w:hint="default"/>
      </w:rPr>
    </w:lvl>
    <w:lvl w:ilvl="6" w:tplc="04010001">
      <w:start w:val="1"/>
      <w:numFmt w:val="bullet"/>
      <w:lvlText w:val=""/>
      <w:lvlJc w:val="left"/>
      <w:pPr>
        <w:tabs>
          <w:tab w:val="num" w:pos="6098"/>
        </w:tabs>
        <w:ind w:left="6098" w:right="6098" w:hanging="360"/>
      </w:pPr>
      <w:rPr>
        <w:rFonts w:ascii="Symbol" w:hAnsi="Symbol" w:cs="Times New Roman" w:hint="default"/>
      </w:rPr>
    </w:lvl>
    <w:lvl w:ilvl="7" w:tplc="04010003">
      <w:start w:val="1"/>
      <w:numFmt w:val="bullet"/>
      <w:lvlText w:val="o"/>
      <w:lvlJc w:val="left"/>
      <w:pPr>
        <w:tabs>
          <w:tab w:val="num" w:pos="6818"/>
        </w:tabs>
        <w:ind w:left="6818" w:right="6818" w:hanging="360"/>
      </w:pPr>
      <w:rPr>
        <w:rFonts w:ascii="Courier New" w:hAnsi="Courier New" w:cs="Courier New" w:hint="default"/>
      </w:rPr>
    </w:lvl>
    <w:lvl w:ilvl="8" w:tplc="04010005">
      <w:start w:val="1"/>
      <w:numFmt w:val="bullet"/>
      <w:lvlText w:val=""/>
      <w:lvlJc w:val="left"/>
      <w:pPr>
        <w:tabs>
          <w:tab w:val="num" w:pos="7538"/>
        </w:tabs>
        <w:ind w:left="7538" w:right="7538" w:hanging="360"/>
      </w:pPr>
      <w:rPr>
        <w:rFonts w:ascii="Wingdings" w:hAnsi="Wingdings" w:cs="Times New Roman" w:hint="default"/>
      </w:rPr>
    </w:lvl>
  </w:abstractNum>
  <w:abstractNum w:abstractNumId="36">
    <w:nsid w:val="669F281B"/>
    <w:multiLevelType w:val="hybridMultilevel"/>
    <w:tmpl w:val="AEEAD990"/>
    <w:lvl w:ilvl="0" w:tplc="AC724150">
      <w:start w:val="1"/>
      <w:numFmt w:val="bullet"/>
      <w:lvlText w:val=""/>
      <w:lvlJc w:val="center"/>
      <w:pPr>
        <w:tabs>
          <w:tab w:val="num" w:pos="852"/>
        </w:tabs>
        <w:ind w:left="217" w:right="217" w:hanging="217"/>
      </w:pPr>
      <w:rPr>
        <w:rFonts w:ascii="Symbol" w:hAnsi="Symbol" w:hint="default"/>
      </w:rPr>
    </w:lvl>
    <w:lvl w:ilvl="1" w:tplc="04090003" w:tentative="1">
      <w:start w:val="1"/>
      <w:numFmt w:val="bullet"/>
      <w:lvlText w:val="o"/>
      <w:lvlJc w:val="left"/>
      <w:pPr>
        <w:tabs>
          <w:tab w:val="num" w:pos="1932"/>
        </w:tabs>
        <w:ind w:left="1932" w:right="1932" w:hanging="360"/>
      </w:pPr>
      <w:rPr>
        <w:rFonts w:ascii="Courier New" w:hAnsi="Courier New" w:hint="default"/>
      </w:rPr>
    </w:lvl>
    <w:lvl w:ilvl="2" w:tplc="04090005" w:tentative="1">
      <w:start w:val="1"/>
      <w:numFmt w:val="bullet"/>
      <w:lvlText w:val=""/>
      <w:lvlJc w:val="left"/>
      <w:pPr>
        <w:tabs>
          <w:tab w:val="num" w:pos="2652"/>
        </w:tabs>
        <w:ind w:left="2652" w:right="2652" w:hanging="360"/>
      </w:pPr>
      <w:rPr>
        <w:rFonts w:ascii="Wingdings" w:hAnsi="Wingdings" w:hint="default"/>
      </w:rPr>
    </w:lvl>
    <w:lvl w:ilvl="3" w:tplc="04090001" w:tentative="1">
      <w:start w:val="1"/>
      <w:numFmt w:val="bullet"/>
      <w:lvlText w:val=""/>
      <w:lvlJc w:val="left"/>
      <w:pPr>
        <w:tabs>
          <w:tab w:val="num" w:pos="3372"/>
        </w:tabs>
        <w:ind w:left="3372" w:right="3372" w:hanging="360"/>
      </w:pPr>
      <w:rPr>
        <w:rFonts w:ascii="Symbol" w:hAnsi="Symbol" w:hint="default"/>
      </w:rPr>
    </w:lvl>
    <w:lvl w:ilvl="4" w:tplc="04090003" w:tentative="1">
      <w:start w:val="1"/>
      <w:numFmt w:val="bullet"/>
      <w:lvlText w:val="o"/>
      <w:lvlJc w:val="left"/>
      <w:pPr>
        <w:tabs>
          <w:tab w:val="num" w:pos="4092"/>
        </w:tabs>
        <w:ind w:left="4092" w:right="4092" w:hanging="360"/>
      </w:pPr>
      <w:rPr>
        <w:rFonts w:ascii="Courier New" w:hAnsi="Courier New" w:hint="default"/>
      </w:rPr>
    </w:lvl>
    <w:lvl w:ilvl="5" w:tplc="04090005" w:tentative="1">
      <w:start w:val="1"/>
      <w:numFmt w:val="bullet"/>
      <w:lvlText w:val=""/>
      <w:lvlJc w:val="left"/>
      <w:pPr>
        <w:tabs>
          <w:tab w:val="num" w:pos="4812"/>
        </w:tabs>
        <w:ind w:left="4812" w:right="4812" w:hanging="360"/>
      </w:pPr>
      <w:rPr>
        <w:rFonts w:ascii="Wingdings" w:hAnsi="Wingdings" w:hint="default"/>
      </w:rPr>
    </w:lvl>
    <w:lvl w:ilvl="6" w:tplc="04090001" w:tentative="1">
      <w:start w:val="1"/>
      <w:numFmt w:val="bullet"/>
      <w:lvlText w:val=""/>
      <w:lvlJc w:val="left"/>
      <w:pPr>
        <w:tabs>
          <w:tab w:val="num" w:pos="5532"/>
        </w:tabs>
        <w:ind w:left="5532" w:right="5532" w:hanging="360"/>
      </w:pPr>
      <w:rPr>
        <w:rFonts w:ascii="Symbol" w:hAnsi="Symbol" w:hint="default"/>
      </w:rPr>
    </w:lvl>
    <w:lvl w:ilvl="7" w:tplc="04090003" w:tentative="1">
      <w:start w:val="1"/>
      <w:numFmt w:val="bullet"/>
      <w:lvlText w:val="o"/>
      <w:lvlJc w:val="left"/>
      <w:pPr>
        <w:tabs>
          <w:tab w:val="num" w:pos="6252"/>
        </w:tabs>
        <w:ind w:left="6252" w:right="6252" w:hanging="360"/>
      </w:pPr>
      <w:rPr>
        <w:rFonts w:ascii="Courier New" w:hAnsi="Courier New" w:hint="default"/>
      </w:rPr>
    </w:lvl>
    <w:lvl w:ilvl="8" w:tplc="04090005" w:tentative="1">
      <w:start w:val="1"/>
      <w:numFmt w:val="bullet"/>
      <w:lvlText w:val=""/>
      <w:lvlJc w:val="left"/>
      <w:pPr>
        <w:tabs>
          <w:tab w:val="num" w:pos="6972"/>
        </w:tabs>
        <w:ind w:left="6972" w:right="6972" w:hanging="360"/>
      </w:pPr>
      <w:rPr>
        <w:rFonts w:ascii="Wingdings" w:hAnsi="Wingdings" w:hint="default"/>
      </w:rPr>
    </w:lvl>
  </w:abstractNum>
  <w:abstractNum w:abstractNumId="37">
    <w:nsid w:val="66BB6B60"/>
    <w:multiLevelType w:val="hybridMultilevel"/>
    <w:tmpl w:val="DAFA45F6"/>
    <w:lvl w:ilvl="0" w:tplc="8AA6AA96">
      <w:start w:val="4"/>
      <w:numFmt w:val="bullet"/>
      <w:lvlText w:val="-"/>
      <w:lvlJc w:val="left"/>
      <w:pPr>
        <w:tabs>
          <w:tab w:val="num" w:pos="780"/>
        </w:tabs>
        <w:ind w:left="780" w:right="780" w:hanging="360"/>
      </w:pPr>
      <w:rPr>
        <w:rFonts w:ascii="Times New Roman" w:eastAsia="Times New Roman" w:hAnsi="Times New Roman" w:cs="Times New Roman" w:hint="default"/>
      </w:rPr>
    </w:lvl>
    <w:lvl w:ilvl="1" w:tplc="04090003" w:tentative="1">
      <w:start w:val="1"/>
      <w:numFmt w:val="bullet"/>
      <w:lvlText w:val="o"/>
      <w:lvlJc w:val="left"/>
      <w:pPr>
        <w:tabs>
          <w:tab w:val="num" w:pos="1500"/>
        </w:tabs>
        <w:ind w:left="1500" w:right="1500" w:hanging="360"/>
      </w:pPr>
      <w:rPr>
        <w:rFonts w:ascii="Courier New" w:hAnsi="Courier New" w:hint="default"/>
      </w:rPr>
    </w:lvl>
    <w:lvl w:ilvl="2" w:tplc="04090005" w:tentative="1">
      <w:start w:val="1"/>
      <w:numFmt w:val="bullet"/>
      <w:lvlText w:val=""/>
      <w:lvlJc w:val="left"/>
      <w:pPr>
        <w:tabs>
          <w:tab w:val="num" w:pos="2220"/>
        </w:tabs>
        <w:ind w:left="2220" w:right="2220" w:hanging="360"/>
      </w:pPr>
      <w:rPr>
        <w:rFonts w:ascii="Wingdings" w:hAnsi="Wingdings" w:hint="default"/>
      </w:rPr>
    </w:lvl>
    <w:lvl w:ilvl="3" w:tplc="04090001" w:tentative="1">
      <w:start w:val="1"/>
      <w:numFmt w:val="bullet"/>
      <w:lvlText w:val=""/>
      <w:lvlJc w:val="left"/>
      <w:pPr>
        <w:tabs>
          <w:tab w:val="num" w:pos="2940"/>
        </w:tabs>
        <w:ind w:left="2940" w:right="2940" w:hanging="360"/>
      </w:pPr>
      <w:rPr>
        <w:rFonts w:ascii="Symbol" w:hAnsi="Symbol" w:hint="default"/>
      </w:rPr>
    </w:lvl>
    <w:lvl w:ilvl="4" w:tplc="04090003" w:tentative="1">
      <w:start w:val="1"/>
      <w:numFmt w:val="bullet"/>
      <w:lvlText w:val="o"/>
      <w:lvlJc w:val="left"/>
      <w:pPr>
        <w:tabs>
          <w:tab w:val="num" w:pos="3660"/>
        </w:tabs>
        <w:ind w:left="3660" w:right="3660" w:hanging="360"/>
      </w:pPr>
      <w:rPr>
        <w:rFonts w:ascii="Courier New" w:hAnsi="Courier New" w:hint="default"/>
      </w:rPr>
    </w:lvl>
    <w:lvl w:ilvl="5" w:tplc="04090005" w:tentative="1">
      <w:start w:val="1"/>
      <w:numFmt w:val="bullet"/>
      <w:lvlText w:val=""/>
      <w:lvlJc w:val="left"/>
      <w:pPr>
        <w:tabs>
          <w:tab w:val="num" w:pos="4380"/>
        </w:tabs>
        <w:ind w:left="4380" w:right="4380" w:hanging="360"/>
      </w:pPr>
      <w:rPr>
        <w:rFonts w:ascii="Wingdings" w:hAnsi="Wingdings" w:hint="default"/>
      </w:rPr>
    </w:lvl>
    <w:lvl w:ilvl="6" w:tplc="04090001" w:tentative="1">
      <w:start w:val="1"/>
      <w:numFmt w:val="bullet"/>
      <w:lvlText w:val=""/>
      <w:lvlJc w:val="left"/>
      <w:pPr>
        <w:tabs>
          <w:tab w:val="num" w:pos="5100"/>
        </w:tabs>
        <w:ind w:left="5100" w:right="5100" w:hanging="360"/>
      </w:pPr>
      <w:rPr>
        <w:rFonts w:ascii="Symbol" w:hAnsi="Symbol" w:hint="default"/>
      </w:rPr>
    </w:lvl>
    <w:lvl w:ilvl="7" w:tplc="04090003" w:tentative="1">
      <w:start w:val="1"/>
      <w:numFmt w:val="bullet"/>
      <w:lvlText w:val="o"/>
      <w:lvlJc w:val="left"/>
      <w:pPr>
        <w:tabs>
          <w:tab w:val="num" w:pos="5820"/>
        </w:tabs>
        <w:ind w:left="5820" w:right="5820" w:hanging="360"/>
      </w:pPr>
      <w:rPr>
        <w:rFonts w:ascii="Courier New" w:hAnsi="Courier New" w:hint="default"/>
      </w:rPr>
    </w:lvl>
    <w:lvl w:ilvl="8" w:tplc="04090005" w:tentative="1">
      <w:start w:val="1"/>
      <w:numFmt w:val="bullet"/>
      <w:lvlText w:val=""/>
      <w:lvlJc w:val="left"/>
      <w:pPr>
        <w:tabs>
          <w:tab w:val="num" w:pos="6540"/>
        </w:tabs>
        <w:ind w:left="6540" w:right="6540" w:hanging="360"/>
      </w:pPr>
      <w:rPr>
        <w:rFonts w:ascii="Wingdings" w:hAnsi="Wingdings" w:hint="default"/>
      </w:rPr>
    </w:lvl>
  </w:abstractNum>
  <w:abstractNum w:abstractNumId="38">
    <w:nsid w:val="674B01A3"/>
    <w:multiLevelType w:val="hybridMultilevel"/>
    <w:tmpl w:val="DD0A7E40"/>
    <w:lvl w:ilvl="0" w:tplc="04010001">
      <w:start w:val="1"/>
      <w:numFmt w:val="bullet"/>
      <w:lvlText w:val=""/>
      <w:lvlJc w:val="left"/>
      <w:pPr>
        <w:tabs>
          <w:tab w:val="num" w:pos="900"/>
        </w:tabs>
        <w:ind w:left="900" w:right="900" w:hanging="360"/>
      </w:pPr>
      <w:rPr>
        <w:rFonts w:ascii="Symbol" w:hAnsi="Symbol" w:hint="default"/>
      </w:rPr>
    </w:lvl>
    <w:lvl w:ilvl="1" w:tplc="04010003">
      <w:start w:val="1"/>
      <w:numFmt w:val="bullet"/>
      <w:lvlText w:val="o"/>
      <w:lvlJc w:val="left"/>
      <w:pPr>
        <w:tabs>
          <w:tab w:val="num" w:pos="1620"/>
        </w:tabs>
        <w:ind w:left="1620" w:right="1620" w:hanging="360"/>
      </w:pPr>
      <w:rPr>
        <w:rFonts w:ascii="Courier New" w:hAnsi="Courier New" w:hint="default"/>
      </w:rPr>
    </w:lvl>
    <w:lvl w:ilvl="2" w:tplc="04010005">
      <w:start w:val="1"/>
      <w:numFmt w:val="bullet"/>
      <w:lvlText w:val=""/>
      <w:lvlJc w:val="left"/>
      <w:pPr>
        <w:tabs>
          <w:tab w:val="num" w:pos="2340"/>
        </w:tabs>
        <w:ind w:left="2340" w:right="2340" w:hanging="360"/>
      </w:pPr>
      <w:rPr>
        <w:rFonts w:ascii="Wingdings" w:hAnsi="Wingdings" w:hint="default"/>
      </w:rPr>
    </w:lvl>
    <w:lvl w:ilvl="3" w:tplc="04010001" w:tentative="1">
      <w:start w:val="1"/>
      <w:numFmt w:val="bullet"/>
      <w:lvlText w:val=""/>
      <w:lvlJc w:val="left"/>
      <w:pPr>
        <w:tabs>
          <w:tab w:val="num" w:pos="3060"/>
        </w:tabs>
        <w:ind w:left="3060" w:right="3060" w:hanging="360"/>
      </w:pPr>
      <w:rPr>
        <w:rFonts w:ascii="Symbol" w:hAnsi="Symbol" w:hint="default"/>
      </w:rPr>
    </w:lvl>
    <w:lvl w:ilvl="4" w:tplc="04010003" w:tentative="1">
      <w:start w:val="1"/>
      <w:numFmt w:val="bullet"/>
      <w:lvlText w:val="o"/>
      <w:lvlJc w:val="left"/>
      <w:pPr>
        <w:tabs>
          <w:tab w:val="num" w:pos="3780"/>
        </w:tabs>
        <w:ind w:left="3780" w:right="3780" w:hanging="360"/>
      </w:pPr>
      <w:rPr>
        <w:rFonts w:ascii="Courier New" w:hAnsi="Courier New" w:hint="default"/>
      </w:rPr>
    </w:lvl>
    <w:lvl w:ilvl="5" w:tplc="04010005" w:tentative="1">
      <w:start w:val="1"/>
      <w:numFmt w:val="bullet"/>
      <w:lvlText w:val=""/>
      <w:lvlJc w:val="left"/>
      <w:pPr>
        <w:tabs>
          <w:tab w:val="num" w:pos="4500"/>
        </w:tabs>
        <w:ind w:left="4500" w:right="4500" w:hanging="360"/>
      </w:pPr>
      <w:rPr>
        <w:rFonts w:ascii="Wingdings" w:hAnsi="Wingdings" w:hint="default"/>
      </w:rPr>
    </w:lvl>
    <w:lvl w:ilvl="6" w:tplc="04010001" w:tentative="1">
      <w:start w:val="1"/>
      <w:numFmt w:val="bullet"/>
      <w:lvlText w:val=""/>
      <w:lvlJc w:val="left"/>
      <w:pPr>
        <w:tabs>
          <w:tab w:val="num" w:pos="5220"/>
        </w:tabs>
        <w:ind w:left="5220" w:right="5220" w:hanging="360"/>
      </w:pPr>
      <w:rPr>
        <w:rFonts w:ascii="Symbol" w:hAnsi="Symbol" w:hint="default"/>
      </w:rPr>
    </w:lvl>
    <w:lvl w:ilvl="7" w:tplc="04010003" w:tentative="1">
      <w:start w:val="1"/>
      <w:numFmt w:val="bullet"/>
      <w:lvlText w:val="o"/>
      <w:lvlJc w:val="left"/>
      <w:pPr>
        <w:tabs>
          <w:tab w:val="num" w:pos="5940"/>
        </w:tabs>
        <w:ind w:left="5940" w:right="5940" w:hanging="360"/>
      </w:pPr>
      <w:rPr>
        <w:rFonts w:ascii="Courier New" w:hAnsi="Courier New" w:hint="default"/>
      </w:rPr>
    </w:lvl>
    <w:lvl w:ilvl="8" w:tplc="04010005" w:tentative="1">
      <w:start w:val="1"/>
      <w:numFmt w:val="bullet"/>
      <w:lvlText w:val=""/>
      <w:lvlJc w:val="left"/>
      <w:pPr>
        <w:tabs>
          <w:tab w:val="num" w:pos="6660"/>
        </w:tabs>
        <w:ind w:left="6660" w:right="6660" w:hanging="360"/>
      </w:pPr>
      <w:rPr>
        <w:rFonts w:ascii="Wingdings" w:hAnsi="Wingdings" w:hint="default"/>
      </w:rPr>
    </w:lvl>
  </w:abstractNum>
  <w:abstractNum w:abstractNumId="39">
    <w:nsid w:val="6E9E7ADA"/>
    <w:multiLevelType w:val="hybridMultilevel"/>
    <w:tmpl w:val="7C600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26F4F05"/>
    <w:multiLevelType w:val="hybridMultilevel"/>
    <w:tmpl w:val="A9D24C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78D24F3"/>
    <w:multiLevelType w:val="hybridMultilevel"/>
    <w:tmpl w:val="151067D0"/>
    <w:lvl w:ilvl="0" w:tplc="04090001">
      <w:start w:val="1"/>
      <w:numFmt w:val="bullet"/>
      <w:lvlText w:val=""/>
      <w:lvlJc w:val="left"/>
      <w:pPr>
        <w:tabs>
          <w:tab w:val="num" w:pos="720"/>
        </w:tabs>
        <w:ind w:left="720" w:right="720" w:hanging="360"/>
      </w:pPr>
      <w:rPr>
        <w:rFonts w:ascii="Symbol" w:hAnsi="Symbol" w:hint="default"/>
      </w:rPr>
    </w:lvl>
    <w:lvl w:ilvl="1" w:tplc="04010001">
      <w:start w:val="1"/>
      <w:numFmt w:val="bullet"/>
      <w:lvlText w:val=""/>
      <w:lvlJc w:val="left"/>
      <w:pPr>
        <w:tabs>
          <w:tab w:val="num" w:pos="1440"/>
        </w:tabs>
        <w:ind w:left="1440" w:right="1440" w:hanging="360"/>
      </w:pPr>
      <w:rPr>
        <w:rFonts w:ascii="Symbol" w:hAnsi="Symbol" w:hint="default"/>
      </w:rPr>
    </w:lvl>
    <w:lvl w:ilvl="2" w:tplc="0401001B">
      <w:start w:val="1"/>
      <w:numFmt w:val="lowerRoman"/>
      <w:lvlText w:val="%3."/>
      <w:lvlJc w:val="right"/>
      <w:pPr>
        <w:tabs>
          <w:tab w:val="num" w:pos="2160"/>
        </w:tabs>
        <w:ind w:left="2160" w:right="2160" w:hanging="180"/>
      </w:pPr>
    </w:lvl>
    <w:lvl w:ilvl="3" w:tplc="0401000F">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42">
    <w:nsid w:val="79DA0447"/>
    <w:multiLevelType w:val="singleLevel"/>
    <w:tmpl w:val="AC724150"/>
    <w:lvl w:ilvl="0">
      <w:start w:val="1"/>
      <w:numFmt w:val="bullet"/>
      <w:lvlText w:val=""/>
      <w:lvlJc w:val="center"/>
      <w:pPr>
        <w:tabs>
          <w:tab w:val="num" w:pos="360"/>
        </w:tabs>
        <w:ind w:left="217" w:right="217" w:hanging="217"/>
      </w:pPr>
      <w:rPr>
        <w:rFonts w:ascii="Symbol" w:hAnsi="Symbol" w:hint="default"/>
      </w:rPr>
    </w:lvl>
  </w:abstractNum>
  <w:abstractNum w:abstractNumId="43">
    <w:nsid w:val="7B096E00"/>
    <w:multiLevelType w:val="hybridMultilevel"/>
    <w:tmpl w:val="FD647DF4"/>
    <w:lvl w:ilvl="0" w:tplc="888CCFB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BFD5B2F"/>
    <w:multiLevelType w:val="hybridMultilevel"/>
    <w:tmpl w:val="9F3C4926"/>
    <w:lvl w:ilvl="0" w:tplc="FFFFFFFF">
      <w:start w:val="1"/>
      <w:numFmt w:val="chosung"/>
      <w:lvlText w:val=""/>
      <w:legacy w:legacy="1" w:legacySpace="0" w:legacyIndent="1"/>
      <w:lvlJc w:val="center"/>
      <w:pPr>
        <w:ind w:left="141" w:right="141" w:hanging="1"/>
      </w:pPr>
      <w:rPr>
        <w:rFonts w:ascii="Symbol" w:hAnsi="Symbol" w:hint="default"/>
      </w:rPr>
    </w:lvl>
    <w:lvl w:ilvl="1" w:tplc="91E454A8">
      <w:start w:val="4"/>
      <w:numFmt w:val="decimal"/>
      <w:lvlText w:val="%2."/>
      <w:lvlJc w:val="left"/>
      <w:pPr>
        <w:tabs>
          <w:tab w:val="num" w:pos="1640"/>
        </w:tabs>
        <w:ind w:left="1640" w:right="1640" w:hanging="360"/>
      </w:pPr>
      <w:rPr>
        <w:rFonts w:hint="default"/>
      </w:rPr>
    </w:lvl>
    <w:lvl w:ilvl="2" w:tplc="0409001B" w:tentative="1">
      <w:start w:val="1"/>
      <w:numFmt w:val="lowerRoman"/>
      <w:lvlText w:val="%3."/>
      <w:lvlJc w:val="right"/>
      <w:pPr>
        <w:tabs>
          <w:tab w:val="num" w:pos="2360"/>
        </w:tabs>
        <w:ind w:left="2360" w:right="2360" w:hanging="180"/>
      </w:pPr>
    </w:lvl>
    <w:lvl w:ilvl="3" w:tplc="0409000F" w:tentative="1">
      <w:start w:val="1"/>
      <w:numFmt w:val="decimal"/>
      <w:lvlText w:val="%4."/>
      <w:lvlJc w:val="left"/>
      <w:pPr>
        <w:tabs>
          <w:tab w:val="num" w:pos="3080"/>
        </w:tabs>
        <w:ind w:left="3080" w:right="3080" w:hanging="360"/>
      </w:pPr>
    </w:lvl>
    <w:lvl w:ilvl="4" w:tplc="04090019" w:tentative="1">
      <w:start w:val="1"/>
      <w:numFmt w:val="lowerLetter"/>
      <w:lvlText w:val="%5."/>
      <w:lvlJc w:val="left"/>
      <w:pPr>
        <w:tabs>
          <w:tab w:val="num" w:pos="3800"/>
        </w:tabs>
        <w:ind w:left="3800" w:right="3800" w:hanging="360"/>
      </w:pPr>
    </w:lvl>
    <w:lvl w:ilvl="5" w:tplc="0409001B" w:tentative="1">
      <w:start w:val="1"/>
      <w:numFmt w:val="lowerRoman"/>
      <w:lvlText w:val="%6."/>
      <w:lvlJc w:val="right"/>
      <w:pPr>
        <w:tabs>
          <w:tab w:val="num" w:pos="4520"/>
        </w:tabs>
        <w:ind w:left="4520" w:right="4520" w:hanging="180"/>
      </w:pPr>
    </w:lvl>
    <w:lvl w:ilvl="6" w:tplc="0409000F" w:tentative="1">
      <w:start w:val="1"/>
      <w:numFmt w:val="decimal"/>
      <w:lvlText w:val="%7."/>
      <w:lvlJc w:val="left"/>
      <w:pPr>
        <w:tabs>
          <w:tab w:val="num" w:pos="5240"/>
        </w:tabs>
        <w:ind w:left="5240" w:right="5240" w:hanging="360"/>
      </w:pPr>
    </w:lvl>
    <w:lvl w:ilvl="7" w:tplc="04090019" w:tentative="1">
      <w:start w:val="1"/>
      <w:numFmt w:val="lowerLetter"/>
      <w:lvlText w:val="%8."/>
      <w:lvlJc w:val="left"/>
      <w:pPr>
        <w:tabs>
          <w:tab w:val="num" w:pos="5960"/>
        </w:tabs>
        <w:ind w:left="5960" w:right="5960" w:hanging="360"/>
      </w:pPr>
    </w:lvl>
    <w:lvl w:ilvl="8" w:tplc="0409001B" w:tentative="1">
      <w:start w:val="1"/>
      <w:numFmt w:val="lowerRoman"/>
      <w:lvlText w:val="%9."/>
      <w:lvlJc w:val="right"/>
      <w:pPr>
        <w:tabs>
          <w:tab w:val="num" w:pos="6680"/>
        </w:tabs>
        <w:ind w:left="6680" w:right="6680" w:hanging="180"/>
      </w:pPr>
    </w:lvl>
  </w:abstractNum>
  <w:abstractNum w:abstractNumId="45">
    <w:nsid w:val="7FDC7F26"/>
    <w:multiLevelType w:val="hybridMultilevel"/>
    <w:tmpl w:val="43B0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2"/>
  </w:num>
  <w:num w:numId="3">
    <w:abstractNumId w:val="20"/>
  </w:num>
  <w:num w:numId="4">
    <w:abstractNumId w:val="27"/>
  </w:num>
  <w:num w:numId="5">
    <w:abstractNumId w:val="21"/>
  </w:num>
  <w:num w:numId="6">
    <w:abstractNumId w:val="23"/>
  </w:num>
  <w:num w:numId="7">
    <w:abstractNumId w:val="10"/>
  </w:num>
  <w:num w:numId="8">
    <w:abstractNumId w:val="6"/>
  </w:num>
  <w:num w:numId="9">
    <w:abstractNumId w:val="37"/>
  </w:num>
  <w:num w:numId="10">
    <w:abstractNumId w:val="17"/>
  </w:num>
  <w:num w:numId="11">
    <w:abstractNumId w:val="22"/>
  </w:num>
  <w:num w:numId="12">
    <w:abstractNumId w:val="13"/>
  </w:num>
  <w:num w:numId="13">
    <w:abstractNumId w:val="0"/>
  </w:num>
  <w:num w:numId="14">
    <w:abstractNumId w:val="36"/>
  </w:num>
  <w:num w:numId="15">
    <w:abstractNumId w:val="44"/>
  </w:num>
  <w:num w:numId="16">
    <w:abstractNumId w:val="24"/>
  </w:num>
  <w:num w:numId="17">
    <w:abstractNumId w:val="18"/>
  </w:num>
  <w:num w:numId="18">
    <w:abstractNumId w:val="9"/>
  </w:num>
  <w:num w:numId="19">
    <w:abstractNumId w:val="12"/>
  </w:num>
  <w:num w:numId="20">
    <w:abstractNumId w:val="28"/>
  </w:num>
  <w:num w:numId="21">
    <w:abstractNumId w:val="33"/>
  </w:num>
  <w:num w:numId="22">
    <w:abstractNumId w:val="2"/>
  </w:num>
  <w:num w:numId="23">
    <w:abstractNumId w:val="5"/>
  </w:num>
  <w:num w:numId="24">
    <w:abstractNumId w:val="32"/>
  </w:num>
  <w:num w:numId="25">
    <w:abstractNumId w:val="15"/>
  </w:num>
  <w:num w:numId="26">
    <w:abstractNumId w:val="26"/>
  </w:num>
  <w:num w:numId="27">
    <w:abstractNumId w:val="41"/>
  </w:num>
  <w:num w:numId="28">
    <w:abstractNumId w:val="16"/>
  </w:num>
  <w:num w:numId="29">
    <w:abstractNumId w:val="27"/>
  </w:num>
  <w:num w:numId="30">
    <w:abstractNumId w:val="35"/>
  </w:num>
  <w:num w:numId="31">
    <w:abstractNumId w:val="38"/>
  </w:num>
  <w:num w:numId="32">
    <w:abstractNumId w:val="19"/>
  </w:num>
  <w:num w:numId="33">
    <w:abstractNumId w:val="31"/>
  </w:num>
  <w:num w:numId="34">
    <w:abstractNumId w:val="29"/>
  </w:num>
  <w:num w:numId="35">
    <w:abstractNumId w:val="43"/>
  </w:num>
  <w:num w:numId="36">
    <w:abstractNumId w:val="45"/>
  </w:num>
  <w:num w:numId="37">
    <w:abstractNumId w:val="34"/>
  </w:num>
  <w:num w:numId="38">
    <w:abstractNumId w:val="25"/>
  </w:num>
  <w:num w:numId="39">
    <w:abstractNumId w:val="40"/>
  </w:num>
  <w:num w:numId="40">
    <w:abstractNumId w:val="1"/>
  </w:num>
  <w:num w:numId="41">
    <w:abstractNumId w:val="14"/>
  </w:num>
  <w:num w:numId="42">
    <w:abstractNumId w:val="11"/>
  </w:num>
  <w:num w:numId="43">
    <w:abstractNumId w:val="30"/>
  </w:num>
  <w:num w:numId="44">
    <w:abstractNumId w:val="4"/>
  </w:num>
  <w:num w:numId="45">
    <w:abstractNumId w:val="7"/>
  </w:num>
  <w:num w:numId="46">
    <w:abstractNumId w:val="39"/>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C34"/>
    <w:rsid w:val="000008AF"/>
    <w:rsid w:val="00001151"/>
    <w:rsid w:val="00006DD0"/>
    <w:rsid w:val="000071B5"/>
    <w:rsid w:val="00020401"/>
    <w:rsid w:val="00020472"/>
    <w:rsid w:val="0002081A"/>
    <w:rsid w:val="000222DF"/>
    <w:rsid w:val="000236F4"/>
    <w:rsid w:val="00023C34"/>
    <w:rsid w:val="00024109"/>
    <w:rsid w:val="0002491E"/>
    <w:rsid w:val="000270B9"/>
    <w:rsid w:val="00027884"/>
    <w:rsid w:val="00027AF0"/>
    <w:rsid w:val="00031183"/>
    <w:rsid w:val="0003242E"/>
    <w:rsid w:val="00032957"/>
    <w:rsid w:val="00033BBF"/>
    <w:rsid w:val="00035E42"/>
    <w:rsid w:val="00037873"/>
    <w:rsid w:val="000412EC"/>
    <w:rsid w:val="00041CF6"/>
    <w:rsid w:val="000429AA"/>
    <w:rsid w:val="00044707"/>
    <w:rsid w:val="000457C7"/>
    <w:rsid w:val="00046173"/>
    <w:rsid w:val="00050596"/>
    <w:rsid w:val="00052EE4"/>
    <w:rsid w:val="00052EF1"/>
    <w:rsid w:val="00053E06"/>
    <w:rsid w:val="00053E99"/>
    <w:rsid w:val="00056005"/>
    <w:rsid w:val="000600EA"/>
    <w:rsid w:val="000616E0"/>
    <w:rsid w:val="00061C65"/>
    <w:rsid w:val="0006398E"/>
    <w:rsid w:val="00063FB1"/>
    <w:rsid w:val="0006560A"/>
    <w:rsid w:val="00072CE4"/>
    <w:rsid w:val="0007340E"/>
    <w:rsid w:val="00073BBF"/>
    <w:rsid w:val="00075142"/>
    <w:rsid w:val="000764DB"/>
    <w:rsid w:val="00076BEF"/>
    <w:rsid w:val="00080641"/>
    <w:rsid w:val="000808F6"/>
    <w:rsid w:val="00080FC8"/>
    <w:rsid w:val="000814DD"/>
    <w:rsid w:val="00081585"/>
    <w:rsid w:val="000816A6"/>
    <w:rsid w:val="00081BBA"/>
    <w:rsid w:val="00084A42"/>
    <w:rsid w:val="00085293"/>
    <w:rsid w:val="000929A0"/>
    <w:rsid w:val="00094078"/>
    <w:rsid w:val="0009508C"/>
    <w:rsid w:val="00095B85"/>
    <w:rsid w:val="000A789D"/>
    <w:rsid w:val="000B3C58"/>
    <w:rsid w:val="000B3CE9"/>
    <w:rsid w:val="000B4106"/>
    <w:rsid w:val="000B56D8"/>
    <w:rsid w:val="000B60BA"/>
    <w:rsid w:val="000C435D"/>
    <w:rsid w:val="000C6DFD"/>
    <w:rsid w:val="000C7FE9"/>
    <w:rsid w:val="000D0272"/>
    <w:rsid w:val="000D0F12"/>
    <w:rsid w:val="000D1AB5"/>
    <w:rsid w:val="000D485E"/>
    <w:rsid w:val="000D4F5A"/>
    <w:rsid w:val="000E01A2"/>
    <w:rsid w:val="000E098B"/>
    <w:rsid w:val="000E12CB"/>
    <w:rsid w:val="000E1586"/>
    <w:rsid w:val="000E45AC"/>
    <w:rsid w:val="000E5038"/>
    <w:rsid w:val="000F0D63"/>
    <w:rsid w:val="000F5EA0"/>
    <w:rsid w:val="000F61D4"/>
    <w:rsid w:val="001023D5"/>
    <w:rsid w:val="00104BA8"/>
    <w:rsid w:val="0010580B"/>
    <w:rsid w:val="00105CCF"/>
    <w:rsid w:val="00106155"/>
    <w:rsid w:val="00106D25"/>
    <w:rsid w:val="00107504"/>
    <w:rsid w:val="001105F4"/>
    <w:rsid w:val="00110B51"/>
    <w:rsid w:val="001115FC"/>
    <w:rsid w:val="0011385C"/>
    <w:rsid w:val="00113C57"/>
    <w:rsid w:val="00114A81"/>
    <w:rsid w:val="00122CE8"/>
    <w:rsid w:val="00125228"/>
    <w:rsid w:val="00132FF4"/>
    <w:rsid w:val="00135BFA"/>
    <w:rsid w:val="001405B8"/>
    <w:rsid w:val="00141C91"/>
    <w:rsid w:val="00142925"/>
    <w:rsid w:val="001432E1"/>
    <w:rsid w:val="00147053"/>
    <w:rsid w:val="00150541"/>
    <w:rsid w:val="001505F1"/>
    <w:rsid w:val="00150DCC"/>
    <w:rsid w:val="001530C2"/>
    <w:rsid w:val="00155467"/>
    <w:rsid w:val="0015638C"/>
    <w:rsid w:val="001623A9"/>
    <w:rsid w:val="001659EB"/>
    <w:rsid w:val="00172E01"/>
    <w:rsid w:val="00173627"/>
    <w:rsid w:val="00175E55"/>
    <w:rsid w:val="00176A67"/>
    <w:rsid w:val="001848F8"/>
    <w:rsid w:val="00184C9B"/>
    <w:rsid w:val="001864A8"/>
    <w:rsid w:val="001871C9"/>
    <w:rsid w:val="00187996"/>
    <w:rsid w:val="00191134"/>
    <w:rsid w:val="00191875"/>
    <w:rsid w:val="00192602"/>
    <w:rsid w:val="00195A92"/>
    <w:rsid w:val="0019655D"/>
    <w:rsid w:val="001A0172"/>
    <w:rsid w:val="001A1879"/>
    <w:rsid w:val="001A22AD"/>
    <w:rsid w:val="001A22AE"/>
    <w:rsid w:val="001A3F7A"/>
    <w:rsid w:val="001A44AC"/>
    <w:rsid w:val="001A468B"/>
    <w:rsid w:val="001A6458"/>
    <w:rsid w:val="001A7531"/>
    <w:rsid w:val="001A77FE"/>
    <w:rsid w:val="001A7A3A"/>
    <w:rsid w:val="001A7ADA"/>
    <w:rsid w:val="001B1079"/>
    <w:rsid w:val="001B2D32"/>
    <w:rsid w:val="001B6224"/>
    <w:rsid w:val="001B6695"/>
    <w:rsid w:val="001B6DB6"/>
    <w:rsid w:val="001B7980"/>
    <w:rsid w:val="001C362B"/>
    <w:rsid w:val="001C5C29"/>
    <w:rsid w:val="001C7803"/>
    <w:rsid w:val="001C7902"/>
    <w:rsid w:val="001D0532"/>
    <w:rsid w:val="001D18A4"/>
    <w:rsid w:val="001D4ED9"/>
    <w:rsid w:val="001D7CC2"/>
    <w:rsid w:val="001D7EBD"/>
    <w:rsid w:val="001E04A3"/>
    <w:rsid w:val="001E06B0"/>
    <w:rsid w:val="001E1DAB"/>
    <w:rsid w:val="001E2FDD"/>
    <w:rsid w:val="001E38B2"/>
    <w:rsid w:val="001E4655"/>
    <w:rsid w:val="001E5C18"/>
    <w:rsid w:val="001F3A28"/>
    <w:rsid w:val="001F455D"/>
    <w:rsid w:val="001F7FB6"/>
    <w:rsid w:val="002000CC"/>
    <w:rsid w:val="00201146"/>
    <w:rsid w:val="0020323E"/>
    <w:rsid w:val="00204252"/>
    <w:rsid w:val="00204D32"/>
    <w:rsid w:val="00204FCE"/>
    <w:rsid w:val="002057D9"/>
    <w:rsid w:val="00206010"/>
    <w:rsid w:val="00210C6D"/>
    <w:rsid w:val="00211583"/>
    <w:rsid w:val="0021269B"/>
    <w:rsid w:val="00214450"/>
    <w:rsid w:val="00217033"/>
    <w:rsid w:val="00217392"/>
    <w:rsid w:val="0022226A"/>
    <w:rsid w:val="00222505"/>
    <w:rsid w:val="0023053D"/>
    <w:rsid w:val="00231396"/>
    <w:rsid w:val="00232255"/>
    <w:rsid w:val="00232967"/>
    <w:rsid w:val="0023543D"/>
    <w:rsid w:val="002356F2"/>
    <w:rsid w:val="002363CA"/>
    <w:rsid w:val="002441E2"/>
    <w:rsid w:val="00245657"/>
    <w:rsid w:val="002506D2"/>
    <w:rsid w:val="00251C8B"/>
    <w:rsid w:val="002531BB"/>
    <w:rsid w:val="00253D93"/>
    <w:rsid w:val="00255376"/>
    <w:rsid w:val="00255784"/>
    <w:rsid w:val="002574B4"/>
    <w:rsid w:val="0025771B"/>
    <w:rsid w:val="0026103B"/>
    <w:rsid w:val="002636B6"/>
    <w:rsid w:val="00264AA9"/>
    <w:rsid w:val="00266809"/>
    <w:rsid w:val="00270909"/>
    <w:rsid w:val="0027117E"/>
    <w:rsid w:val="00273BF4"/>
    <w:rsid w:val="00277177"/>
    <w:rsid w:val="0027741F"/>
    <w:rsid w:val="002774AD"/>
    <w:rsid w:val="00277A11"/>
    <w:rsid w:val="002814F8"/>
    <w:rsid w:val="00286079"/>
    <w:rsid w:val="0029479A"/>
    <w:rsid w:val="002A27CF"/>
    <w:rsid w:val="002A7CE9"/>
    <w:rsid w:val="002B000A"/>
    <w:rsid w:val="002B0B72"/>
    <w:rsid w:val="002B0E57"/>
    <w:rsid w:val="002B57F9"/>
    <w:rsid w:val="002B5D58"/>
    <w:rsid w:val="002B6900"/>
    <w:rsid w:val="002B6F5E"/>
    <w:rsid w:val="002C3130"/>
    <w:rsid w:val="002C360B"/>
    <w:rsid w:val="002C3F50"/>
    <w:rsid w:val="002C6B75"/>
    <w:rsid w:val="002D1AAF"/>
    <w:rsid w:val="002D1CF7"/>
    <w:rsid w:val="002D46BB"/>
    <w:rsid w:val="002D6325"/>
    <w:rsid w:val="002E030F"/>
    <w:rsid w:val="002E2EAB"/>
    <w:rsid w:val="002E730F"/>
    <w:rsid w:val="002F0DC0"/>
    <w:rsid w:val="002F14BF"/>
    <w:rsid w:val="002F2768"/>
    <w:rsid w:val="002F596A"/>
    <w:rsid w:val="002F65FB"/>
    <w:rsid w:val="002F7DE6"/>
    <w:rsid w:val="00300BB8"/>
    <w:rsid w:val="00300CA3"/>
    <w:rsid w:val="00301240"/>
    <w:rsid w:val="003036ED"/>
    <w:rsid w:val="00305541"/>
    <w:rsid w:val="00305EEA"/>
    <w:rsid w:val="0030714D"/>
    <w:rsid w:val="003119C1"/>
    <w:rsid w:val="0031550B"/>
    <w:rsid w:val="00321D8A"/>
    <w:rsid w:val="003223C6"/>
    <w:rsid w:val="00332772"/>
    <w:rsid w:val="0033415C"/>
    <w:rsid w:val="003369D9"/>
    <w:rsid w:val="00337048"/>
    <w:rsid w:val="0034069F"/>
    <w:rsid w:val="003433EA"/>
    <w:rsid w:val="0035141C"/>
    <w:rsid w:val="00353145"/>
    <w:rsid w:val="00356F3D"/>
    <w:rsid w:val="003571E4"/>
    <w:rsid w:val="00360BC1"/>
    <w:rsid w:val="00361367"/>
    <w:rsid w:val="003617A5"/>
    <w:rsid w:val="00362689"/>
    <w:rsid w:val="00363920"/>
    <w:rsid w:val="00365A6D"/>
    <w:rsid w:val="003716AA"/>
    <w:rsid w:val="00374AAD"/>
    <w:rsid w:val="00374DDD"/>
    <w:rsid w:val="00374F6E"/>
    <w:rsid w:val="00375DC2"/>
    <w:rsid w:val="00376CF2"/>
    <w:rsid w:val="00380E08"/>
    <w:rsid w:val="00384430"/>
    <w:rsid w:val="00385CE1"/>
    <w:rsid w:val="00386497"/>
    <w:rsid w:val="00386CDB"/>
    <w:rsid w:val="003877D0"/>
    <w:rsid w:val="00390DA2"/>
    <w:rsid w:val="00391BD4"/>
    <w:rsid w:val="0039699A"/>
    <w:rsid w:val="00396AB6"/>
    <w:rsid w:val="00396B22"/>
    <w:rsid w:val="00397F2B"/>
    <w:rsid w:val="00397FB5"/>
    <w:rsid w:val="003A19B1"/>
    <w:rsid w:val="003A48E8"/>
    <w:rsid w:val="003A4EDE"/>
    <w:rsid w:val="003A63BE"/>
    <w:rsid w:val="003A6948"/>
    <w:rsid w:val="003A78F4"/>
    <w:rsid w:val="003B0937"/>
    <w:rsid w:val="003B180C"/>
    <w:rsid w:val="003B352B"/>
    <w:rsid w:val="003B4AF0"/>
    <w:rsid w:val="003B5049"/>
    <w:rsid w:val="003B6AAF"/>
    <w:rsid w:val="003C0474"/>
    <w:rsid w:val="003C1F9C"/>
    <w:rsid w:val="003C694C"/>
    <w:rsid w:val="003C6E14"/>
    <w:rsid w:val="003C6F8A"/>
    <w:rsid w:val="003C73E5"/>
    <w:rsid w:val="003C7695"/>
    <w:rsid w:val="003C7EB3"/>
    <w:rsid w:val="003D1A91"/>
    <w:rsid w:val="003E10D5"/>
    <w:rsid w:val="003E3A59"/>
    <w:rsid w:val="00400669"/>
    <w:rsid w:val="00401090"/>
    <w:rsid w:val="00401889"/>
    <w:rsid w:val="004036D0"/>
    <w:rsid w:val="00405810"/>
    <w:rsid w:val="00411BE9"/>
    <w:rsid w:val="00413551"/>
    <w:rsid w:val="0041440E"/>
    <w:rsid w:val="00416C58"/>
    <w:rsid w:val="00420EFC"/>
    <w:rsid w:val="00421B7D"/>
    <w:rsid w:val="00421F14"/>
    <w:rsid w:val="00422DCD"/>
    <w:rsid w:val="00425820"/>
    <w:rsid w:val="0042689B"/>
    <w:rsid w:val="004312AB"/>
    <w:rsid w:val="00431553"/>
    <w:rsid w:val="004345D1"/>
    <w:rsid w:val="0044259E"/>
    <w:rsid w:val="00443A14"/>
    <w:rsid w:val="00446F67"/>
    <w:rsid w:val="00453E45"/>
    <w:rsid w:val="00460036"/>
    <w:rsid w:val="004610D7"/>
    <w:rsid w:val="00463CB4"/>
    <w:rsid w:val="004641CC"/>
    <w:rsid w:val="00464550"/>
    <w:rsid w:val="00465611"/>
    <w:rsid w:val="0047115B"/>
    <w:rsid w:val="00471506"/>
    <w:rsid w:val="00473980"/>
    <w:rsid w:val="00474740"/>
    <w:rsid w:val="004748A5"/>
    <w:rsid w:val="00474917"/>
    <w:rsid w:val="00475B82"/>
    <w:rsid w:val="00477F6E"/>
    <w:rsid w:val="004802BB"/>
    <w:rsid w:val="00481CBE"/>
    <w:rsid w:val="00483579"/>
    <w:rsid w:val="00483834"/>
    <w:rsid w:val="004863AB"/>
    <w:rsid w:val="00486AD2"/>
    <w:rsid w:val="004878B2"/>
    <w:rsid w:val="00487AC9"/>
    <w:rsid w:val="00487DD5"/>
    <w:rsid w:val="004933FF"/>
    <w:rsid w:val="004949CD"/>
    <w:rsid w:val="0049627D"/>
    <w:rsid w:val="004970DC"/>
    <w:rsid w:val="004A1D6E"/>
    <w:rsid w:val="004A57EF"/>
    <w:rsid w:val="004A5863"/>
    <w:rsid w:val="004A5BF7"/>
    <w:rsid w:val="004B1520"/>
    <w:rsid w:val="004B2A55"/>
    <w:rsid w:val="004B341C"/>
    <w:rsid w:val="004B3E28"/>
    <w:rsid w:val="004C090D"/>
    <w:rsid w:val="004C225B"/>
    <w:rsid w:val="004C2688"/>
    <w:rsid w:val="004C4C0E"/>
    <w:rsid w:val="004C516E"/>
    <w:rsid w:val="004C5F10"/>
    <w:rsid w:val="004C705B"/>
    <w:rsid w:val="004C755E"/>
    <w:rsid w:val="004C784E"/>
    <w:rsid w:val="004C7F40"/>
    <w:rsid w:val="004D28E1"/>
    <w:rsid w:val="004D6C62"/>
    <w:rsid w:val="004E02F1"/>
    <w:rsid w:val="004E0384"/>
    <w:rsid w:val="004E2ABD"/>
    <w:rsid w:val="004E4364"/>
    <w:rsid w:val="004E521A"/>
    <w:rsid w:val="004E5B75"/>
    <w:rsid w:val="004F42DB"/>
    <w:rsid w:val="004F51CE"/>
    <w:rsid w:val="004F5BAD"/>
    <w:rsid w:val="004F78B2"/>
    <w:rsid w:val="00502182"/>
    <w:rsid w:val="005152D4"/>
    <w:rsid w:val="00515327"/>
    <w:rsid w:val="00522AC4"/>
    <w:rsid w:val="00525027"/>
    <w:rsid w:val="00527090"/>
    <w:rsid w:val="005271C0"/>
    <w:rsid w:val="00530855"/>
    <w:rsid w:val="0053226A"/>
    <w:rsid w:val="00533129"/>
    <w:rsid w:val="00534F13"/>
    <w:rsid w:val="005353CE"/>
    <w:rsid w:val="005409E6"/>
    <w:rsid w:val="00542634"/>
    <w:rsid w:val="005428F2"/>
    <w:rsid w:val="00543861"/>
    <w:rsid w:val="005444B8"/>
    <w:rsid w:val="005462E9"/>
    <w:rsid w:val="00546803"/>
    <w:rsid w:val="00553479"/>
    <w:rsid w:val="00553C2B"/>
    <w:rsid w:val="00554F38"/>
    <w:rsid w:val="00554FB5"/>
    <w:rsid w:val="0055793B"/>
    <w:rsid w:val="00560746"/>
    <w:rsid w:val="005610CA"/>
    <w:rsid w:val="0056285A"/>
    <w:rsid w:val="00563C7A"/>
    <w:rsid w:val="00564750"/>
    <w:rsid w:val="0056499E"/>
    <w:rsid w:val="005661E9"/>
    <w:rsid w:val="0056636D"/>
    <w:rsid w:val="00567021"/>
    <w:rsid w:val="005678BE"/>
    <w:rsid w:val="005703AA"/>
    <w:rsid w:val="00570D8A"/>
    <w:rsid w:val="00572BF3"/>
    <w:rsid w:val="00575468"/>
    <w:rsid w:val="005774D7"/>
    <w:rsid w:val="00583E39"/>
    <w:rsid w:val="00584040"/>
    <w:rsid w:val="00584303"/>
    <w:rsid w:val="0058495C"/>
    <w:rsid w:val="00584A4B"/>
    <w:rsid w:val="00585416"/>
    <w:rsid w:val="0059044A"/>
    <w:rsid w:val="00592BE3"/>
    <w:rsid w:val="00593685"/>
    <w:rsid w:val="005A1B03"/>
    <w:rsid w:val="005A1DC5"/>
    <w:rsid w:val="005A310E"/>
    <w:rsid w:val="005A33A2"/>
    <w:rsid w:val="005A505E"/>
    <w:rsid w:val="005B113A"/>
    <w:rsid w:val="005B342A"/>
    <w:rsid w:val="005B3E5A"/>
    <w:rsid w:val="005B57F8"/>
    <w:rsid w:val="005C2A5A"/>
    <w:rsid w:val="005C45D2"/>
    <w:rsid w:val="005C4C09"/>
    <w:rsid w:val="005C7C5D"/>
    <w:rsid w:val="005D04D3"/>
    <w:rsid w:val="005D2CE5"/>
    <w:rsid w:val="005D4E75"/>
    <w:rsid w:val="005E07C7"/>
    <w:rsid w:val="005E2837"/>
    <w:rsid w:val="005E2A9C"/>
    <w:rsid w:val="005E2DA4"/>
    <w:rsid w:val="005E450F"/>
    <w:rsid w:val="005E6470"/>
    <w:rsid w:val="005F07AB"/>
    <w:rsid w:val="005F1034"/>
    <w:rsid w:val="005F37AF"/>
    <w:rsid w:val="005F4214"/>
    <w:rsid w:val="00601034"/>
    <w:rsid w:val="00601D2D"/>
    <w:rsid w:val="00602366"/>
    <w:rsid w:val="00604C82"/>
    <w:rsid w:val="0060584F"/>
    <w:rsid w:val="00607571"/>
    <w:rsid w:val="00607A22"/>
    <w:rsid w:val="00610F48"/>
    <w:rsid w:val="00611E69"/>
    <w:rsid w:val="0061746C"/>
    <w:rsid w:val="00617924"/>
    <w:rsid w:val="00617F41"/>
    <w:rsid w:val="00620936"/>
    <w:rsid w:val="00621A60"/>
    <w:rsid w:val="00630B4C"/>
    <w:rsid w:val="00634462"/>
    <w:rsid w:val="00636846"/>
    <w:rsid w:val="00636FE4"/>
    <w:rsid w:val="0063797C"/>
    <w:rsid w:val="00644E75"/>
    <w:rsid w:val="00644F0F"/>
    <w:rsid w:val="00645A59"/>
    <w:rsid w:val="006507B2"/>
    <w:rsid w:val="006514CB"/>
    <w:rsid w:val="00651AEC"/>
    <w:rsid w:val="006531AE"/>
    <w:rsid w:val="0065642C"/>
    <w:rsid w:val="00657578"/>
    <w:rsid w:val="0066164E"/>
    <w:rsid w:val="006618E8"/>
    <w:rsid w:val="006636E9"/>
    <w:rsid w:val="0066531E"/>
    <w:rsid w:val="00666316"/>
    <w:rsid w:val="006663C9"/>
    <w:rsid w:val="00666988"/>
    <w:rsid w:val="00670062"/>
    <w:rsid w:val="00670686"/>
    <w:rsid w:val="0067539A"/>
    <w:rsid w:val="00680214"/>
    <w:rsid w:val="00680862"/>
    <w:rsid w:val="006821F0"/>
    <w:rsid w:val="00683981"/>
    <w:rsid w:val="00686056"/>
    <w:rsid w:val="0068628F"/>
    <w:rsid w:val="00686537"/>
    <w:rsid w:val="00690790"/>
    <w:rsid w:val="0069362F"/>
    <w:rsid w:val="006962D4"/>
    <w:rsid w:val="006A10CB"/>
    <w:rsid w:val="006A39DA"/>
    <w:rsid w:val="006A60A3"/>
    <w:rsid w:val="006B0DF4"/>
    <w:rsid w:val="006B148E"/>
    <w:rsid w:val="006B1D7C"/>
    <w:rsid w:val="006B3C67"/>
    <w:rsid w:val="006B3E54"/>
    <w:rsid w:val="006B6A8B"/>
    <w:rsid w:val="006B6F10"/>
    <w:rsid w:val="006C1D0F"/>
    <w:rsid w:val="006C268E"/>
    <w:rsid w:val="006C2C00"/>
    <w:rsid w:val="006C2F17"/>
    <w:rsid w:val="006C3171"/>
    <w:rsid w:val="006C50F7"/>
    <w:rsid w:val="006C6121"/>
    <w:rsid w:val="006C6C0B"/>
    <w:rsid w:val="006D0CC4"/>
    <w:rsid w:val="006D255A"/>
    <w:rsid w:val="006D25A3"/>
    <w:rsid w:val="006D2CFE"/>
    <w:rsid w:val="006D3EA0"/>
    <w:rsid w:val="006D5A80"/>
    <w:rsid w:val="006D7C4B"/>
    <w:rsid w:val="006F08F4"/>
    <w:rsid w:val="006F0ECF"/>
    <w:rsid w:val="006F13EA"/>
    <w:rsid w:val="006F1D5D"/>
    <w:rsid w:val="006F4716"/>
    <w:rsid w:val="006F6152"/>
    <w:rsid w:val="006F6E55"/>
    <w:rsid w:val="00700597"/>
    <w:rsid w:val="00702CAE"/>
    <w:rsid w:val="007061D3"/>
    <w:rsid w:val="007065A2"/>
    <w:rsid w:val="00706762"/>
    <w:rsid w:val="00707B6F"/>
    <w:rsid w:val="00710A63"/>
    <w:rsid w:val="00710C08"/>
    <w:rsid w:val="007117F6"/>
    <w:rsid w:val="00711922"/>
    <w:rsid w:val="00711F9E"/>
    <w:rsid w:val="007147C5"/>
    <w:rsid w:val="007205F5"/>
    <w:rsid w:val="00723958"/>
    <w:rsid w:val="00732E62"/>
    <w:rsid w:val="007332EE"/>
    <w:rsid w:val="0073708B"/>
    <w:rsid w:val="007372C5"/>
    <w:rsid w:val="007406BF"/>
    <w:rsid w:val="00741F5B"/>
    <w:rsid w:val="0074275F"/>
    <w:rsid w:val="00747C81"/>
    <w:rsid w:val="007525CD"/>
    <w:rsid w:val="007526A5"/>
    <w:rsid w:val="00752D97"/>
    <w:rsid w:val="007557F9"/>
    <w:rsid w:val="007562F6"/>
    <w:rsid w:val="00757BE6"/>
    <w:rsid w:val="00757FCE"/>
    <w:rsid w:val="007613FD"/>
    <w:rsid w:val="00765613"/>
    <w:rsid w:val="00765FF4"/>
    <w:rsid w:val="0076615D"/>
    <w:rsid w:val="00771441"/>
    <w:rsid w:val="00771605"/>
    <w:rsid w:val="007749FF"/>
    <w:rsid w:val="007808A2"/>
    <w:rsid w:val="00785120"/>
    <w:rsid w:val="00785457"/>
    <w:rsid w:val="00792838"/>
    <w:rsid w:val="007936FD"/>
    <w:rsid w:val="00794F7C"/>
    <w:rsid w:val="007A65D2"/>
    <w:rsid w:val="007B0041"/>
    <w:rsid w:val="007B32A5"/>
    <w:rsid w:val="007B6993"/>
    <w:rsid w:val="007C2967"/>
    <w:rsid w:val="007C3335"/>
    <w:rsid w:val="007C33C7"/>
    <w:rsid w:val="007C3496"/>
    <w:rsid w:val="007C3664"/>
    <w:rsid w:val="007C4C45"/>
    <w:rsid w:val="007D0517"/>
    <w:rsid w:val="007D1C25"/>
    <w:rsid w:val="007D31E6"/>
    <w:rsid w:val="007D3A08"/>
    <w:rsid w:val="007D5305"/>
    <w:rsid w:val="007D634F"/>
    <w:rsid w:val="007D7114"/>
    <w:rsid w:val="007D7405"/>
    <w:rsid w:val="007E7D71"/>
    <w:rsid w:val="007E7E54"/>
    <w:rsid w:val="007F0E9F"/>
    <w:rsid w:val="007F2EB5"/>
    <w:rsid w:val="007F5597"/>
    <w:rsid w:val="007F6D75"/>
    <w:rsid w:val="00800DC5"/>
    <w:rsid w:val="00802449"/>
    <w:rsid w:val="008033A3"/>
    <w:rsid w:val="0080462B"/>
    <w:rsid w:val="008072B9"/>
    <w:rsid w:val="00807AAB"/>
    <w:rsid w:val="00807DDE"/>
    <w:rsid w:val="00807E16"/>
    <w:rsid w:val="00811AD9"/>
    <w:rsid w:val="00812E9B"/>
    <w:rsid w:val="008140E5"/>
    <w:rsid w:val="00815217"/>
    <w:rsid w:val="008153AD"/>
    <w:rsid w:val="00817B76"/>
    <w:rsid w:val="00820556"/>
    <w:rsid w:val="00821F50"/>
    <w:rsid w:val="00826D72"/>
    <w:rsid w:val="00827163"/>
    <w:rsid w:val="00827E9C"/>
    <w:rsid w:val="00830297"/>
    <w:rsid w:val="0083119D"/>
    <w:rsid w:val="00831C44"/>
    <w:rsid w:val="00832274"/>
    <w:rsid w:val="0083440E"/>
    <w:rsid w:val="00835FD0"/>
    <w:rsid w:val="00836C5D"/>
    <w:rsid w:val="008371D4"/>
    <w:rsid w:val="008374AE"/>
    <w:rsid w:val="008413A6"/>
    <w:rsid w:val="0084155B"/>
    <w:rsid w:val="00843970"/>
    <w:rsid w:val="0084503D"/>
    <w:rsid w:val="00852F63"/>
    <w:rsid w:val="00854ADF"/>
    <w:rsid w:val="00855829"/>
    <w:rsid w:val="008564A1"/>
    <w:rsid w:val="0085685A"/>
    <w:rsid w:val="00857B94"/>
    <w:rsid w:val="008618A5"/>
    <w:rsid w:val="0087038E"/>
    <w:rsid w:val="00872DDD"/>
    <w:rsid w:val="00873F20"/>
    <w:rsid w:val="0087584F"/>
    <w:rsid w:val="00880650"/>
    <w:rsid w:val="00881072"/>
    <w:rsid w:val="008812B4"/>
    <w:rsid w:val="0088256E"/>
    <w:rsid w:val="008835BF"/>
    <w:rsid w:val="008912B2"/>
    <w:rsid w:val="008934B0"/>
    <w:rsid w:val="0089477D"/>
    <w:rsid w:val="008972C4"/>
    <w:rsid w:val="008A37EB"/>
    <w:rsid w:val="008A4E3F"/>
    <w:rsid w:val="008A5929"/>
    <w:rsid w:val="008A672E"/>
    <w:rsid w:val="008A771A"/>
    <w:rsid w:val="008B1B74"/>
    <w:rsid w:val="008B4C69"/>
    <w:rsid w:val="008B632F"/>
    <w:rsid w:val="008B703A"/>
    <w:rsid w:val="008B75CB"/>
    <w:rsid w:val="008C3A0D"/>
    <w:rsid w:val="008D159A"/>
    <w:rsid w:val="008D3191"/>
    <w:rsid w:val="008D48EB"/>
    <w:rsid w:val="008E3DEB"/>
    <w:rsid w:val="008E7F72"/>
    <w:rsid w:val="008F30A5"/>
    <w:rsid w:val="008F4237"/>
    <w:rsid w:val="008F7BF5"/>
    <w:rsid w:val="009008A1"/>
    <w:rsid w:val="0090311D"/>
    <w:rsid w:val="00903670"/>
    <w:rsid w:val="00903BB8"/>
    <w:rsid w:val="00904A92"/>
    <w:rsid w:val="00904D12"/>
    <w:rsid w:val="009071C1"/>
    <w:rsid w:val="009109F8"/>
    <w:rsid w:val="009121C7"/>
    <w:rsid w:val="00915967"/>
    <w:rsid w:val="009177CA"/>
    <w:rsid w:val="00920F6E"/>
    <w:rsid w:val="009223AB"/>
    <w:rsid w:val="00923A58"/>
    <w:rsid w:val="00926AB1"/>
    <w:rsid w:val="0092788A"/>
    <w:rsid w:val="009278D1"/>
    <w:rsid w:val="00931180"/>
    <w:rsid w:val="00934E25"/>
    <w:rsid w:val="009369B7"/>
    <w:rsid w:val="00937125"/>
    <w:rsid w:val="009423D8"/>
    <w:rsid w:val="00942811"/>
    <w:rsid w:val="00944193"/>
    <w:rsid w:val="00945359"/>
    <w:rsid w:val="00946C07"/>
    <w:rsid w:val="0094723C"/>
    <w:rsid w:val="0095048E"/>
    <w:rsid w:val="00951020"/>
    <w:rsid w:val="0095168F"/>
    <w:rsid w:val="00951A32"/>
    <w:rsid w:val="00951CA7"/>
    <w:rsid w:val="00951EDB"/>
    <w:rsid w:val="00953AC6"/>
    <w:rsid w:val="00953C0A"/>
    <w:rsid w:val="0095436D"/>
    <w:rsid w:val="00956345"/>
    <w:rsid w:val="009622E0"/>
    <w:rsid w:val="00963426"/>
    <w:rsid w:val="0096453E"/>
    <w:rsid w:val="009656E9"/>
    <w:rsid w:val="009658CD"/>
    <w:rsid w:val="00965F83"/>
    <w:rsid w:val="00966A3A"/>
    <w:rsid w:val="00974FC7"/>
    <w:rsid w:val="009757E1"/>
    <w:rsid w:val="0098155A"/>
    <w:rsid w:val="00981B7D"/>
    <w:rsid w:val="00984778"/>
    <w:rsid w:val="0098755C"/>
    <w:rsid w:val="0099051A"/>
    <w:rsid w:val="00991FF7"/>
    <w:rsid w:val="009A0FF9"/>
    <w:rsid w:val="009A3814"/>
    <w:rsid w:val="009A5693"/>
    <w:rsid w:val="009B61B4"/>
    <w:rsid w:val="009B7040"/>
    <w:rsid w:val="009B7778"/>
    <w:rsid w:val="009C1D6A"/>
    <w:rsid w:val="009C282D"/>
    <w:rsid w:val="009C373F"/>
    <w:rsid w:val="009C3F2C"/>
    <w:rsid w:val="009C79B3"/>
    <w:rsid w:val="009D31BF"/>
    <w:rsid w:val="009D343B"/>
    <w:rsid w:val="009D3937"/>
    <w:rsid w:val="009D3996"/>
    <w:rsid w:val="009D3FE2"/>
    <w:rsid w:val="009D4B8D"/>
    <w:rsid w:val="009E1501"/>
    <w:rsid w:val="009E3049"/>
    <w:rsid w:val="009E321D"/>
    <w:rsid w:val="009E6B05"/>
    <w:rsid w:val="009E7737"/>
    <w:rsid w:val="009E7D1F"/>
    <w:rsid w:val="009F0E80"/>
    <w:rsid w:val="009F13F5"/>
    <w:rsid w:val="009F61BA"/>
    <w:rsid w:val="009F69C2"/>
    <w:rsid w:val="00A00249"/>
    <w:rsid w:val="00A004C5"/>
    <w:rsid w:val="00A00C2E"/>
    <w:rsid w:val="00A017BC"/>
    <w:rsid w:val="00A0418F"/>
    <w:rsid w:val="00A04ABC"/>
    <w:rsid w:val="00A05A53"/>
    <w:rsid w:val="00A06FE9"/>
    <w:rsid w:val="00A11E1B"/>
    <w:rsid w:val="00A12290"/>
    <w:rsid w:val="00A12E47"/>
    <w:rsid w:val="00A150D1"/>
    <w:rsid w:val="00A165F0"/>
    <w:rsid w:val="00A1748F"/>
    <w:rsid w:val="00A17B02"/>
    <w:rsid w:val="00A21DED"/>
    <w:rsid w:val="00A227FA"/>
    <w:rsid w:val="00A244AA"/>
    <w:rsid w:val="00A255BC"/>
    <w:rsid w:val="00A2593C"/>
    <w:rsid w:val="00A26AEB"/>
    <w:rsid w:val="00A2716C"/>
    <w:rsid w:val="00A27CD1"/>
    <w:rsid w:val="00A3047F"/>
    <w:rsid w:val="00A30AA0"/>
    <w:rsid w:val="00A36E83"/>
    <w:rsid w:val="00A4056E"/>
    <w:rsid w:val="00A40881"/>
    <w:rsid w:val="00A44CF5"/>
    <w:rsid w:val="00A466D8"/>
    <w:rsid w:val="00A535B1"/>
    <w:rsid w:val="00A538A1"/>
    <w:rsid w:val="00A53C51"/>
    <w:rsid w:val="00A540D9"/>
    <w:rsid w:val="00A56C90"/>
    <w:rsid w:val="00A5734B"/>
    <w:rsid w:val="00A60CFF"/>
    <w:rsid w:val="00A61728"/>
    <w:rsid w:val="00A6355F"/>
    <w:rsid w:val="00A6671B"/>
    <w:rsid w:val="00A7063F"/>
    <w:rsid w:val="00A7182F"/>
    <w:rsid w:val="00A72566"/>
    <w:rsid w:val="00A726BC"/>
    <w:rsid w:val="00A72FEE"/>
    <w:rsid w:val="00A7602C"/>
    <w:rsid w:val="00A76147"/>
    <w:rsid w:val="00A76492"/>
    <w:rsid w:val="00A774B9"/>
    <w:rsid w:val="00A84259"/>
    <w:rsid w:val="00A94A18"/>
    <w:rsid w:val="00A9594B"/>
    <w:rsid w:val="00A96404"/>
    <w:rsid w:val="00A96A77"/>
    <w:rsid w:val="00AA08E2"/>
    <w:rsid w:val="00AB15F8"/>
    <w:rsid w:val="00AB29E7"/>
    <w:rsid w:val="00AB2E9B"/>
    <w:rsid w:val="00AB3484"/>
    <w:rsid w:val="00AB4E0F"/>
    <w:rsid w:val="00AB5778"/>
    <w:rsid w:val="00AB61B4"/>
    <w:rsid w:val="00AC10E5"/>
    <w:rsid w:val="00AC1430"/>
    <w:rsid w:val="00AC358D"/>
    <w:rsid w:val="00AC60CF"/>
    <w:rsid w:val="00AD702B"/>
    <w:rsid w:val="00AE049C"/>
    <w:rsid w:val="00AE0876"/>
    <w:rsid w:val="00AE1C3E"/>
    <w:rsid w:val="00AE2098"/>
    <w:rsid w:val="00AE28EE"/>
    <w:rsid w:val="00AE30EE"/>
    <w:rsid w:val="00AE6E89"/>
    <w:rsid w:val="00AF232E"/>
    <w:rsid w:val="00AF5C5F"/>
    <w:rsid w:val="00AF629C"/>
    <w:rsid w:val="00AF7E22"/>
    <w:rsid w:val="00B01F61"/>
    <w:rsid w:val="00B02024"/>
    <w:rsid w:val="00B05FA8"/>
    <w:rsid w:val="00B069D1"/>
    <w:rsid w:val="00B075C6"/>
    <w:rsid w:val="00B13500"/>
    <w:rsid w:val="00B13B60"/>
    <w:rsid w:val="00B15A71"/>
    <w:rsid w:val="00B2298B"/>
    <w:rsid w:val="00B248AD"/>
    <w:rsid w:val="00B25D69"/>
    <w:rsid w:val="00B30B18"/>
    <w:rsid w:val="00B30EB1"/>
    <w:rsid w:val="00B31427"/>
    <w:rsid w:val="00B3190F"/>
    <w:rsid w:val="00B32290"/>
    <w:rsid w:val="00B3357F"/>
    <w:rsid w:val="00B35B8D"/>
    <w:rsid w:val="00B41000"/>
    <w:rsid w:val="00B42F33"/>
    <w:rsid w:val="00B45013"/>
    <w:rsid w:val="00B450C0"/>
    <w:rsid w:val="00B472EF"/>
    <w:rsid w:val="00B527CF"/>
    <w:rsid w:val="00B52A50"/>
    <w:rsid w:val="00B55CE3"/>
    <w:rsid w:val="00B57192"/>
    <w:rsid w:val="00B622EF"/>
    <w:rsid w:val="00B65172"/>
    <w:rsid w:val="00B6653C"/>
    <w:rsid w:val="00B74750"/>
    <w:rsid w:val="00B74A07"/>
    <w:rsid w:val="00B7729B"/>
    <w:rsid w:val="00B80082"/>
    <w:rsid w:val="00B82AD0"/>
    <w:rsid w:val="00B90DC5"/>
    <w:rsid w:val="00B92149"/>
    <w:rsid w:val="00B92737"/>
    <w:rsid w:val="00B92D00"/>
    <w:rsid w:val="00B9499A"/>
    <w:rsid w:val="00B9636D"/>
    <w:rsid w:val="00BA0896"/>
    <w:rsid w:val="00BA6B99"/>
    <w:rsid w:val="00BA6F2B"/>
    <w:rsid w:val="00BB2271"/>
    <w:rsid w:val="00BB539D"/>
    <w:rsid w:val="00BC01CB"/>
    <w:rsid w:val="00BC5ACC"/>
    <w:rsid w:val="00BC5E15"/>
    <w:rsid w:val="00BD20A8"/>
    <w:rsid w:val="00BD46A4"/>
    <w:rsid w:val="00BD7806"/>
    <w:rsid w:val="00BD7B5F"/>
    <w:rsid w:val="00BE051C"/>
    <w:rsid w:val="00BE05D8"/>
    <w:rsid w:val="00BE1393"/>
    <w:rsid w:val="00BE3F63"/>
    <w:rsid w:val="00BE5552"/>
    <w:rsid w:val="00BE789A"/>
    <w:rsid w:val="00BF3A2B"/>
    <w:rsid w:val="00BF3C8C"/>
    <w:rsid w:val="00BF6E85"/>
    <w:rsid w:val="00C0228F"/>
    <w:rsid w:val="00C02589"/>
    <w:rsid w:val="00C03922"/>
    <w:rsid w:val="00C043EE"/>
    <w:rsid w:val="00C04F9E"/>
    <w:rsid w:val="00C06E36"/>
    <w:rsid w:val="00C07822"/>
    <w:rsid w:val="00C07DF3"/>
    <w:rsid w:val="00C11F7E"/>
    <w:rsid w:val="00C12236"/>
    <w:rsid w:val="00C12D4B"/>
    <w:rsid w:val="00C13050"/>
    <w:rsid w:val="00C16D50"/>
    <w:rsid w:val="00C2158B"/>
    <w:rsid w:val="00C22859"/>
    <w:rsid w:val="00C22BEB"/>
    <w:rsid w:val="00C23ABC"/>
    <w:rsid w:val="00C26550"/>
    <w:rsid w:val="00C32646"/>
    <w:rsid w:val="00C327AB"/>
    <w:rsid w:val="00C34319"/>
    <w:rsid w:val="00C37B3F"/>
    <w:rsid w:val="00C42064"/>
    <w:rsid w:val="00C421FD"/>
    <w:rsid w:val="00C42E20"/>
    <w:rsid w:val="00C45C16"/>
    <w:rsid w:val="00C45D1D"/>
    <w:rsid w:val="00C5050C"/>
    <w:rsid w:val="00C533DD"/>
    <w:rsid w:val="00C5785F"/>
    <w:rsid w:val="00C63043"/>
    <w:rsid w:val="00C642BE"/>
    <w:rsid w:val="00C66306"/>
    <w:rsid w:val="00C7074F"/>
    <w:rsid w:val="00C72FD3"/>
    <w:rsid w:val="00C73BE4"/>
    <w:rsid w:val="00C80028"/>
    <w:rsid w:val="00C842B0"/>
    <w:rsid w:val="00C858A1"/>
    <w:rsid w:val="00C85C04"/>
    <w:rsid w:val="00C91764"/>
    <w:rsid w:val="00C91968"/>
    <w:rsid w:val="00C91CB8"/>
    <w:rsid w:val="00C9630C"/>
    <w:rsid w:val="00C96533"/>
    <w:rsid w:val="00C97837"/>
    <w:rsid w:val="00CA2426"/>
    <w:rsid w:val="00CA3161"/>
    <w:rsid w:val="00CA3AFA"/>
    <w:rsid w:val="00CA40A1"/>
    <w:rsid w:val="00CB1BAB"/>
    <w:rsid w:val="00CB2365"/>
    <w:rsid w:val="00CB2945"/>
    <w:rsid w:val="00CB323C"/>
    <w:rsid w:val="00CB3853"/>
    <w:rsid w:val="00CB43BC"/>
    <w:rsid w:val="00CB5136"/>
    <w:rsid w:val="00CB5E87"/>
    <w:rsid w:val="00CB5F9D"/>
    <w:rsid w:val="00CC2138"/>
    <w:rsid w:val="00CC2945"/>
    <w:rsid w:val="00CC51A3"/>
    <w:rsid w:val="00CC6FFD"/>
    <w:rsid w:val="00CC707B"/>
    <w:rsid w:val="00CD4310"/>
    <w:rsid w:val="00CE0A66"/>
    <w:rsid w:val="00CE0DB3"/>
    <w:rsid w:val="00CE2E6A"/>
    <w:rsid w:val="00CE3241"/>
    <w:rsid w:val="00CE3383"/>
    <w:rsid w:val="00CE50C8"/>
    <w:rsid w:val="00CE5980"/>
    <w:rsid w:val="00CE5CEB"/>
    <w:rsid w:val="00CE6BE6"/>
    <w:rsid w:val="00CE7C81"/>
    <w:rsid w:val="00CF09E6"/>
    <w:rsid w:val="00CF5885"/>
    <w:rsid w:val="00D0429D"/>
    <w:rsid w:val="00D050B5"/>
    <w:rsid w:val="00D06046"/>
    <w:rsid w:val="00D06072"/>
    <w:rsid w:val="00D07426"/>
    <w:rsid w:val="00D12964"/>
    <w:rsid w:val="00D21AB1"/>
    <w:rsid w:val="00D2378E"/>
    <w:rsid w:val="00D27D7A"/>
    <w:rsid w:val="00D303BF"/>
    <w:rsid w:val="00D3498F"/>
    <w:rsid w:val="00D35624"/>
    <w:rsid w:val="00D35ADB"/>
    <w:rsid w:val="00D36187"/>
    <w:rsid w:val="00D3787F"/>
    <w:rsid w:val="00D41851"/>
    <w:rsid w:val="00D43551"/>
    <w:rsid w:val="00D471BB"/>
    <w:rsid w:val="00D50DC8"/>
    <w:rsid w:val="00D51240"/>
    <w:rsid w:val="00D518D6"/>
    <w:rsid w:val="00D52E42"/>
    <w:rsid w:val="00D547D2"/>
    <w:rsid w:val="00D55FAA"/>
    <w:rsid w:val="00D56BC6"/>
    <w:rsid w:val="00D5746E"/>
    <w:rsid w:val="00D6131B"/>
    <w:rsid w:val="00D6278C"/>
    <w:rsid w:val="00D64E57"/>
    <w:rsid w:val="00D6604E"/>
    <w:rsid w:val="00D66411"/>
    <w:rsid w:val="00D71890"/>
    <w:rsid w:val="00D74928"/>
    <w:rsid w:val="00D75230"/>
    <w:rsid w:val="00D75240"/>
    <w:rsid w:val="00D80CA9"/>
    <w:rsid w:val="00D80D94"/>
    <w:rsid w:val="00D8621A"/>
    <w:rsid w:val="00D9399C"/>
    <w:rsid w:val="00D94A8E"/>
    <w:rsid w:val="00D958E5"/>
    <w:rsid w:val="00D96397"/>
    <w:rsid w:val="00D976F4"/>
    <w:rsid w:val="00D97F1E"/>
    <w:rsid w:val="00DA0507"/>
    <w:rsid w:val="00DB0C5E"/>
    <w:rsid w:val="00DB1E08"/>
    <w:rsid w:val="00DB2F33"/>
    <w:rsid w:val="00DB5275"/>
    <w:rsid w:val="00DC20BE"/>
    <w:rsid w:val="00DC2DCB"/>
    <w:rsid w:val="00DC3DBC"/>
    <w:rsid w:val="00DC5AC6"/>
    <w:rsid w:val="00DD063A"/>
    <w:rsid w:val="00DD0DEC"/>
    <w:rsid w:val="00DD291C"/>
    <w:rsid w:val="00DD3C37"/>
    <w:rsid w:val="00DD4406"/>
    <w:rsid w:val="00DD7045"/>
    <w:rsid w:val="00DE28DE"/>
    <w:rsid w:val="00DF01E8"/>
    <w:rsid w:val="00DF1EC0"/>
    <w:rsid w:val="00DF212C"/>
    <w:rsid w:val="00DF5131"/>
    <w:rsid w:val="00DF59B5"/>
    <w:rsid w:val="00DF5A86"/>
    <w:rsid w:val="00DF628F"/>
    <w:rsid w:val="00DF68A1"/>
    <w:rsid w:val="00E021E2"/>
    <w:rsid w:val="00E0235F"/>
    <w:rsid w:val="00E05D95"/>
    <w:rsid w:val="00E1202B"/>
    <w:rsid w:val="00E14158"/>
    <w:rsid w:val="00E14CA5"/>
    <w:rsid w:val="00E16943"/>
    <w:rsid w:val="00E21A5C"/>
    <w:rsid w:val="00E22C11"/>
    <w:rsid w:val="00E25AD0"/>
    <w:rsid w:val="00E25BF2"/>
    <w:rsid w:val="00E270D8"/>
    <w:rsid w:val="00E30231"/>
    <w:rsid w:val="00E30EF4"/>
    <w:rsid w:val="00E3703E"/>
    <w:rsid w:val="00E4023F"/>
    <w:rsid w:val="00E402C2"/>
    <w:rsid w:val="00E415AB"/>
    <w:rsid w:val="00E42194"/>
    <w:rsid w:val="00E42682"/>
    <w:rsid w:val="00E43F73"/>
    <w:rsid w:val="00E44191"/>
    <w:rsid w:val="00E445C3"/>
    <w:rsid w:val="00E47409"/>
    <w:rsid w:val="00E501F5"/>
    <w:rsid w:val="00E50B0D"/>
    <w:rsid w:val="00E516D5"/>
    <w:rsid w:val="00E52EDF"/>
    <w:rsid w:val="00E5379E"/>
    <w:rsid w:val="00E5487F"/>
    <w:rsid w:val="00E54B36"/>
    <w:rsid w:val="00E55175"/>
    <w:rsid w:val="00E561AA"/>
    <w:rsid w:val="00E6107C"/>
    <w:rsid w:val="00E62033"/>
    <w:rsid w:val="00E626D6"/>
    <w:rsid w:val="00E64F61"/>
    <w:rsid w:val="00E66F4C"/>
    <w:rsid w:val="00E7036B"/>
    <w:rsid w:val="00E74524"/>
    <w:rsid w:val="00E77147"/>
    <w:rsid w:val="00E77743"/>
    <w:rsid w:val="00E77EB8"/>
    <w:rsid w:val="00E853ED"/>
    <w:rsid w:val="00E9191B"/>
    <w:rsid w:val="00E91F23"/>
    <w:rsid w:val="00E92005"/>
    <w:rsid w:val="00E94402"/>
    <w:rsid w:val="00EA0AB7"/>
    <w:rsid w:val="00EA12D3"/>
    <w:rsid w:val="00EA14F5"/>
    <w:rsid w:val="00EA6029"/>
    <w:rsid w:val="00EB0C0D"/>
    <w:rsid w:val="00EB1D16"/>
    <w:rsid w:val="00EB2E2C"/>
    <w:rsid w:val="00EB3AB5"/>
    <w:rsid w:val="00EB4EFF"/>
    <w:rsid w:val="00EB51A1"/>
    <w:rsid w:val="00EC12A2"/>
    <w:rsid w:val="00EC2CF6"/>
    <w:rsid w:val="00EC458E"/>
    <w:rsid w:val="00EC5B03"/>
    <w:rsid w:val="00ED066F"/>
    <w:rsid w:val="00ED0F9D"/>
    <w:rsid w:val="00ED18F1"/>
    <w:rsid w:val="00ED33F5"/>
    <w:rsid w:val="00ED427F"/>
    <w:rsid w:val="00ED54FA"/>
    <w:rsid w:val="00EE222C"/>
    <w:rsid w:val="00EE3902"/>
    <w:rsid w:val="00EF490D"/>
    <w:rsid w:val="00F00FB3"/>
    <w:rsid w:val="00F03AA1"/>
    <w:rsid w:val="00F03F87"/>
    <w:rsid w:val="00F1203C"/>
    <w:rsid w:val="00F14515"/>
    <w:rsid w:val="00F21ED9"/>
    <w:rsid w:val="00F22A41"/>
    <w:rsid w:val="00F2569C"/>
    <w:rsid w:val="00F25B35"/>
    <w:rsid w:val="00F263AD"/>
    <w:rsid w:val="00F27C42"/>
    <w:rsid w:val="00F32541"/>
    <w:rsid w:val="00F32DFD"/>
    <w:rsid w:val="00F33F2E"/>
    <w:rsid w:val="00F36FCC"/>
    <w:rsid w:val="00F40B34"/>
    <w:rsid w:val="00F42150"/>
    <w:rsid w:val="00F44A11"/>
    <w:rsid w:val="00F478C5"/>
    <w:rsid w:val="00F502AE"/>
    <w:rsid w:val="00F50C01"/>
    <w:rsid w:val="00F50D5B"/>
    <w:rsid w:val="00F5172C"/>
    <w:rsid w:val="00F51B88"/>
    <w:rsid w:val="00F522F1"/>
    <w:rsid w:val="00F53B00"/>
    <w:rsid w:val="00F5567D"/>
    <w:rsid w:val="00F55F90"/>
    <w:rsid w:val="00F629A0"/>
    <w:rsid w:val="00F63E6A"/>
    <w:rsid w:val="00F66FC4"/>
    <w:rsid w:val="00F75D2B"/>
    <w:rsid w:val="00F80BAE"/>
    <w:rsid w:val="00F82A58"/>
    <w:rsid w:val="00F85843"/>
    <w:rsid w:val="00F8596A"/>
    <w:rsid w:val="00F867F0"/>
    <w:rsid w:val="00F90596"/>
    <w:rsid w:val="00F90FA8"/>
    <w:rsid w:val="00F91065"/>
    <w:rsid w:val="00F91F8E"/>
    <w:rsid w:val="00F92DF2"/>
    <w:rsid w:val="00F973A5"/>
    <w:rsid w:val="00F9789F"/>
    <w:rsid w:val="00FA197E"/>
    <w:rsid w:val="00FA2513"/>
    <w:rsid w:val="00FA269C"/>
    <w:rsid w:val="00FA4C60"/>
    <w:rsid w:val="00FB10C0"/>
    <w:rsid w:val="00FB2A53"/>
    <w:rsid w:val="00FB4B60"/>
    <w:rsid w:val="00FB5351"/>
    <w:rsid w:val="00FB5491"/>
    <w:rsid w:val="00FB62CF"/>
    <w:rsid w:val="00FC0D1E"/>
    <w:rsid w:val="00FC1081"/>
    <w:rsid w:val="00FC1B06"/>
    <w:rsid w:val="00FC2034"/>
    <w:rsid w:val="00FC36BD"/>
    <w:rsid w:val="00FC6BE3"/>
    <w:rsid w:val="00FC7316"/>
    <w:rsid w:val="00FD0AD0"/>
    <w:rsid w:val="00FD1834"/>
    <w:rsid w:val="00FD4BA5"/>
    <w:rsid w:val="00FD52BC"/>
    <w:rsid w:val="00FD52DE"/>
    <w:rsid w:val="00FD6F86"/>
    <w:rsid w:val="00FD7386"/>
    <w:rsid w:val="00FD7872"/>
    <w:rsid w:val="00FE24F4"/>
    <w:rsid w:val="00FE2B2C"/>
    <w:rsid w:val="00FE36EC"/>
    <w:rsid w:val="00FE55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064"/>
  </w:style>
  <w:style w:type="paragraph" w:styleId="Heading1">
    <w:name w:val="heading 1"/>
    <w:basedOn w:val="Normal"/>
    <w:next w:val="Normal"/>
    <w:qFormat/>
    <w:rsid w:val="00C42064"/>
    <w:pPr>
      <w:keepNext/>
      <w:jc w:val="center"/>
      <w:outlineLvl w:val="0"/>
    </w:pPr>
    <w:rPr>
      <w:rFonts w:cs="Simplified Arabic"/>
      <w:b/>
      <w:bCs/>
      <w:sz w:val="24"/>
      <w:szCs w:val="24"/>
    </w:rPr>
  </w:style>
  <w:style w:type="paragraph" w:styleId="Heading2">
    <w:name w:val="heading 2"/>
    <w:basedOn w:val="Normal"/>
    <w:next w:val="Normal"/>
    <w:qFormat/>
    <w:rsid w:val="00C42064"/>
    <w:pPr>
      <w:keepNext/>
      <w:ind w:left="142"/>
      <w:jc w:val="right"/>
      <w:outlineLvl w:val="1"/>
    </w:pPr>
    <w:rPr>
      <w:rFonts w:cs="Traditional Arabic"/>
      <w:b/>
      <w:bCs/>
      <w:sz w:val="24"/>
    </w:rPr>
  </w:style>
  <w:style w:type="paragraph" w:styleId="Heading3">
    <w:name w:val="heading 3"/>
    <w:basedOn w:val="Normal"/>
    <w:next w:val="Normal"/>
    <w:qFormat/>
    <w:rsid w:val="00C42064"/>
    <w:pPr>
      <w:keepNext/>
      <w:tabs>
        <w:tab w:val="left" w:pos="567"/>
      </w:tabs>
      <w:ind w:left="426" w:right="217"/>
      <w:outlineLvl w:val="2"/>
    </w:pPr>
    <w:rPr>
      <w:sz w:val="24"/>
      <w:szCs w:val="24"/>
    </w:rPr>
  </w:style>
  <w:style w:type="paragraph" w:styleId="Heading4">
    <w:name w:val="heading 4"/>
    <w:basedOn w:val="Normal"/>
    <w:next w:val="Normal"/>
    <w:qFormat/>
    <w:rsid w:val="00C42064"/>
    <w:pPr>
      <w:keepNext/>
      <w:ind w:left="567" w:hanging="283"/>
      <w:jc w:val="center"/>
      <w:outlineLvl w:val="3"/>
    </w:pPr>
    <w:rPr>
      <w:sz w:val="24"/>
      <w:szCs w:val="24"/>
    </w:rPr>
  </w:style>
  <w:style w:type="paragraph" w:styleId="Heading5">
    <w:name w:val="heading 5"/>
    <w:basedOn w:val="Normal"/>
    <w:next w:val="Normal"/>
    <w:qFormat/>
    <w:rsid w:val="00C42064"/>
    <w:pPr>
      <w:keepNext/>
      <w:tabs>
        <w:tab w:val="left" w:pos="426"/>
        <w:tab w:val="left" w:pos="567"/>
      </w:tabs>
      <w:ind w:right="141"/>
      <w:jc w:val="center"/>
      <w:outlineLvl w:val="4"/>
    </w:pPr>
    <w:rPr>
      <w:sz w:val="24"/>
      <w:szCs w:val="24"/>
    </w:rPr>
  </w:style>
  <w:style w:type="paragraph" w:styleId="Heading6">
    <w:name w:val="heading 6"/>
    <w:basedOn w:val="Normal"/>
    <w:next w:val="Normal"/>
    <w:qFormat/>
    <w:rsid w:val="00C42064"/>
    <w:pPr>
      <w:keepNext/>
      <w:ind w:left="1280"/>
      <w:jc w:val="center"/>
      <w:outlineLvl w:val="5"/>
    </w:pPr>
    <w:rPr>
      <w:b/>
      <w:bCs/>
      <w:sz w:val="24"/>
      <w:szCs w:val="24"/>
    </w:rPr>
  </w:style>
  <w:style w:type="paragraph" w:styleId="Heading7">
    <w:name w:val="heading 7"/>
    <w:basedOn w:val="Normal"/>
    <w:next w:val="Normal"/>
    <w:qFormat/>
    <w:rsid w:val="00C42064"/>
    <w:pPr>
      <w:keepNext/>
      <w:tabs>
        <w:tab w:val="num" w:pos="360"/>
        <w:tab w:val="num" w:pos="426"/>
      </w:tabs>
      <w:ind w:left="709" w:hanging="709"/>
      <w:jc w:val="center"/>
      <w:outlineLvl w:val="6"/>
    </w:pPr>
    <w:rPr>
      <w:b/>
      <w:bCs/>
      <w:sz w:val="24"/>
      <w:szCs w:val="24"/>
    </w:rPr>
  </w:style>
  <w:style w:type="paragraph" w:styleId="Heading8">
    <w:name w:val="heading 8"/>
    <w:basedOn w:val="Normal"/>
    <w:next w:val="Normal"/>
    <w:qFormat/>
    <w:rsid w:val="00C42064"/>
    <w:pPr>
      <w:keepNext/>
      <w:tabs>
        <w:tab w:val="right" w:pos="567"/>
      </w:tabs>
      <w:ind w:left="350" w:right="217"/>
      <w:outlineLvl w:val="7"/>
    </w:pPr>
    <w:rPr>
      <w:b/>
      <w:bCs/>
      <w:color w:val="0000FF"/>
      <w:sz w:val="24"/>
      <w:szCs w:val="24"/>
    </w:rPr>
  </w:style>
  <w:style w:type="paragraph" w:styleId="Heading9">
    <w:name w:val="heading 9"/>
    <w:basedOn w:val="Normal"/>
    <w:next w:val="Normal"/>
    <w:qFormat/>
    <w:rsid w:val="00C42064"/>
    <w:pPr>
      <w:keepNext/>
      <w:outlineLvl w:val="8"/>
    </w:pPr>
    <w:rPr>
      <w:snapToGrid w:val="0"/>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42064"/>
    <w:pPr>
      <w:jc w:val="center"/>
    </w:pPr>
    <w:rPr>
      <w:rFonts w:cs="Traditional Arabic"/>
      <w:b/>
      <w:bCs/>
      <w:sz w:val="32"/>
    </w:rPr>
  </w:style>
  <w:style w:type="paragraph" w:styleId="BodyTextIndent2">
    <w:name w:val="Body Text Indent 2"/>
    <w:basedOn w:val="Normal"/>
    <w:semiHidden/>
    <w:rsid w:val="00C42064"/>
    <w:pPr>
      <w:ind w:left="709" w:hanging="425"/>
      <w:jc w:val="lowKashida"/>
    </w:pPr>
    <w:rPr>
      <w:rFonts w:cs="Traditional Arabic"/>
      <w:sz w:val="24"/>
    </w:rPr>
  </w:style>
  <w:style w:type="paragraph" w:styleId="BodyTextIndent3">
    <w:name w:val="Body Text Indent 3"/>
    <w:basedOn w:val="Normal"/>
    <w:semiHidden/>
    <w:rsid w:val="00C42064"/>
    <w:pPr>
      <w:ind w:left="426" w:hanging="142"/>
    </w:pPr>
    <w:rPr>
      <w:rFonts w:cs="Traditional Arabic"/>
      <w:sz w:val="24"/>
    </w:rPr>
  </w:style>
  <w:style w:type="paragraph" w:styleId="BodyTextIndent">
    <w:name w:val="Body Text Indent"/>
    <w:basedOn w:val="Normal"/>
    <w:semiHidden/>
    <w:rsid w:val="00C42064"/>
    <w:pPr>
      <w:tabs>
        <w:tab w:val="right" w:pos="851"/>
      </w:tabs>
      <w:ind w:left="1418" w:hanging="567"/>
      <w:jc w:val="lowKashida"/>
    </w:pPr>
    <w:rPr>
      <w:rFonts w:cs="Traditional Arabic"/>
      <w:sz w:val="24"/>
    </w:rPr>
  </w:style>
  <w:style w:type="paragraph" w:styleId="Footer">
    <w:name w:val="footer"/>
    <w:basedOn w:val="Normal"/>
    <w:link w:val="FooterChar"/>
    <w:uiPriority w:val="99"/>
    <w:rsid w:val="00C42064"/>
    <w:pPr>
      <w:tabs>
        <w:tab w:val="center" w:pos="4153"/>
        <w:tab w:val="right" w:pos="8306"/>
      </w:tabs>
    </w:pPr>
  </w:style>
  <w:style w:type="character" w:styleId="PageNumber">
    <w:name w:val="page number"/>
    <w:basedOn w:val="DefaultParagraphFont"/>
    <w:semiHidden/>
    <w:rsid w:val="00C42064"/>
  </w:style>
  <w:style w:type="paragraph" w:styleId="Header">
    <w:name w:val="header"/>
    <w:basedOn w:val="Normal"/>
    <w:link w:val="HeaderChar"/>
    <w:uiPriority w:val="99"/>
    <w:rsid w:val="00C42064"/>
    <w:pPr>
      <w:tabs>
        <w:tab w:val="center" w:pos="4153"/>
        <w:tab w:val="right" w:pos="8306"/>
      </w:tabs>
    </w:pPr>
  </w:style>
  <w:style w:type="paragraph" w:styleId="Subtitle">
    <w:name w:val="Subtitle"/>
    <w:basedOn w:val="Normal"/>
    <w:qFormat/>
    <w:rsid w:val="00C42064"/>
    <w:pPr>
      <w:jc w:val="center"/>
    </w:pPr>
    <w:rPr>
      <w:b/>
      <w:bCs/>
      <w:sz w:val="28"/>
      <w:szCs w:val="28"/>
    </w:rPr>
  </w:style>
  <w:style w:type="paragraph" w:styleId="BodyText">
    <w:name w:val="Body Text"/>
    <w:basedOn w:val="Normal"/>
    <w:semiHidden/>
    <w:rsid w:val="00C42064"/>
    <w:pPr>
      <w:jc w:val="lowKashida"/>
    </w:pPr>
    <w:rPr>
      <w:sz w:val="24"/>
      <w:szCs w:val="24"/>
    </w:rPr>
  </w:style>
  <w:style w:type="paragraph" w:styleId="BodyText3">
    <w:name w:val="Body Text 3"/>
    <w:basedOn w:val="Normal"/>
    <w:semiHidden/>
    <w:rsid w:val="00C42064"/>
    <w:pPr>
      <w:jc w:val="both"/>
    </w:pPr>
    <w:rPr>
      <w:sz w:val="24"/>
      <w:szCs w:val="24"/>
    </w:rPr>
  </w:style>
  <w:style w:type="paragraph" w:styleId="Caption">
    <w:name w:val="caption"/>
    <w:basedOn w:val="Normal"/>
    <w:next w:val="Normal"/>
    <w:qFormat/>
    <w:rsid w:val="00C42064"/>
    <w:pPr>
      <w:tabs>
        <w:tab w:val="num" w:pos="360"/>
        <w:tab w:val="num" w:pos="426"/>
      </w:tabs>
      <w:ind w:left="709" w:hanging="709"/>
    </w:pPr>
    <w:rPr>
      <w:sz w:val="24"/>
      <w:szCs w:val="24"/>
    </w:rPr>
  </w:style>
  <w:style w:type="paragraph" w:styleId="BodyText2">
    <w:name w:val="Body Text 2"/>
    <w:basedOn w:val="Normal"/>
    <w:semiHidden/>
    <w:rsid w:val="00C42064"/>
    <w:pPr>
      <w:jc w:val="center"/>
    </w:pPr>
    <w:rPr>
      <w:b/>
      <w:bCs/>
      <w:sz w:val="24"/>
      <w:szCs w:val="24"/>
    </w:rPr>
  </w:style>
  <w:style w:type="character" w:customStyle="1" w:styleId="longtext">
    <w:name w:val="long_text"/>
    <w:basedOn w:val="DefaultParagraphFont"/>
    <w:rsid w:val="00C42064"/>
  </w:style>
  <w:style w:type="paragraph" w:styleId="BalloonText">
    <w:name w:val="Balloon Text"/>
    <w:basedOn w:val="Normal"/>
    <w:link w:val="BalloonTextChar"/>
    <w:uiPriority w:val="99"/>
    <w:semiHidden/>
    <w:unhideWhenUsed/>
    <w:rsid w:val="00375DC2"/>
    <w:rPr>
      <w:rFonts w:ascii="Tahoma" w:hAnsi="Tahoma" w:cs="Tahoma"/>
      <w:sz w:val="16"/>
      <w:szCs w:val="16"/>
    </w:rPr>
  </w:style>
  <w:style w:type="character" w:customStyle="1" w:styleId="BalloonTextChar">
    <w:name w:val="Balloon Text Char"/>
    <w:basedOn w:val="DefaultParagraphFont"/>
    <w:link w:val="BalloonText"/>
    <w:uiPriority w:val="99"/>
    <w:semiHidden/>
    <w:rsid w:val="00375DC2"/>
    <w:rPr>
      <w:rFonts w:ascii="Tahoma" w:hAnsi="Tahoma" w:cs="Tahoma"/>
      <w:sz w:val="16"/>
      <w:szCs w:val="16"/>
    </w:rPr>
  </w:style>
  <w:style w:type="character" w:customStyle="1" w:styleId="FooterChar">
    <w:name w:val="Footer Char"/>
    <w:basedOn w:val="DefaultParagraphFont"/>
    <w:link w:val="Footer"/>
    <w:uiPriority w:val="99"/>
    <w:rsid w:val="00300BB8"/>
  </w:style>
  <w:style w:type="character" w:customStyle="1" w:styleId="HeaderChar">
    <w:name w:val="Header Char"/>
    <w:basedOn w:val="DefaultParagraphFont"/>
    <w:link w:val="Header"/>
    <w:uiPriority w:val="99"/>
    <w:rsid w:val="00481CBE"/>
  </w:style>
  <w:style w:type="paragraph" w:styleId="FootnoteText">
    <w:name w:val="footnote text"/>
    <w:basedOn w:val="Normal"/>
    <w:link w:val="FootnoteTextChar"/>
    <w:semiHidden/>
    <w:rsid w:val="006D255A"/>
    <w:pPr>
      <w:bidi/>
    </w:pPr>
    <w:rPr>
      <w:noProof/>
    </w:rPr>
  </w:style>
  <w:style w:type="character" w:customStyle="1" w:styleId="FootnoteTextChar">
    <w:name w:val="Footnote Text Char"/>
    <w:basedOn w:val="DefaultParagraphFont"/>
    <w:link w:val="FootnoteText"/>
    <w:semiHidden/>
    <w:rsid w:val="006D255A"/>
    <w:rPr>
      <w:noProof/>
    </w:rPr>
  </w:style>
  <w:style w:type="character" w:styleId="FootnoteReference">
    <w:name w:val="footnote reference"/>
    <w:basedOn w:val="DefaultParagraphFont"/>
    <w:semiHidden/>
    <w:rsid w:val="006D255A"/>
    <w:rPr>
      <w:vertAlign w:val="superscript"/>
    </w:rPr>
  </w:style>
  <w:style w:type="character" w:styleId="LineNumber">
    <w:name w:val="line number"/>
    <w:basedOn w:val="DefaultParagraphFont"/>
    <w:uiPriority w:val="99"/>
    <w:semiHidden/>
    <w:unhideWhenUsed/>
    <w:rsid w:val="000D0272"/>
  </w:style>
  <w:style w:type="character" w:customStyle="1" w:styleId="hps">
    <w:name w:val="hps"/>
    <w:basedOn w:val="DefaultParagraphFont"/>
    <w:rsid w:val="004E0384"/>
  </w:style>
  <w:style w:type="table" w:styleId="TableGrid">
    <w:name w:val="Table Grid"/>
    <w:basedOn w:val="TableNormal"/>
    <w:uiPriority w:val="59"/>
    <w:rsid w:val="00CE59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73E5"/>
    <w:pPr>
      <w:ind w:left="720"/>
      <w:contextualSpacing/>
    </w:pPr>
  </w:style>
  <w:style w:type="character" w:customStyle="1" w:styleId="shorttext">
    <w:name w:val="short_text"/>
    <w:basedOn w:val="DefaultParagraphFont"/>
    <w:rsid w:val="00E5379E"/>
  </w:style>
  <w:style w:type="paragraph" w:styleId="HTMLPreformatted">
    <w:name w:val="HTML Preformatted"/>
    <w:basedOn w:val="Normal"/>
    <w:link w:val="HTMLPreformattedChar"/>
    <w:uiPriority w:val="99"/>
    <w:semiHidden/>
    <w:unhideWhenUsed/>
    <w:rsid w:val="00396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396B22"/>
    <w:rPr>
      <w:rFonts w:ascii="Courier New" w:hAnsi="Courier New" w:cs="Courier New"/>
    </w:rPr>
  </w:style>
  <w:style w:type="paragraph" w:customStyle="1" w:styleId="Default">
    <w:name w:val="Default"/>
    <w:rsid w:val="00E853ED"/>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064"/>
  </w:style>
  <w:style w:type="paragraph" w:styleId="Heading1">
    <w:name w:val="heading 1"/>
    <w:basedOn w:val="Normal"/>
    <w:next w:val="Normal"/>
    <w:qFormat/>
    <w:rsid w:val="00C42064"/>
    <w:pPr>
      <w:keepNext/>
      <w:jc w:val="center"/>
      <w:outlineLvl w:val="0"/>
    </w:pPr>
    <w:rPr>
      <w:rFonts w:cs="Simplified Arabic"/>
      <w:b/>
      <w:bCs/>
      <w:sz w:val="24"/>
      <w:szCs w:val="24"/>
    </w:rPr>
  </w:style>
  <w:style w:type="paragraph" w:styleId="Heading2">
    <w:name w:val="heading 2"/>
    <w:basedOn w:val="Normal"/>
    <w:next w:val="Normal"/>
    <w:qFormat/>
    <w:rsid w:val="00C42064"/>
    <w:pPr>
      <w:keepNext/>
      <w:ind w:left="142"/>
      <w:jc w:val="right"/>
      <w:outlineLvl w:val="1"/>
    </w:pPr>
    <w:rPr>
      <w:rFonts w:cs="Traditional Arabic"/>
      <w:b/>
      <w:bCs/>
      <w:sz w:val="24"/>
    </w:rPr>
  </w:style>
  <w:style w:type="paragraph" w:styleId="Heading3">
    <w:name w:val="heading 3"/>
    <w:basedOn w:val="Normal"/>
    <w:next w:val="Normal"/>
    <w:qFormat/>
    <w:rsid w:val="00C42064"/>
    <w:pPr>
      <w:keepNext/>
      <w:tabs>
        <w:tab w:val="left" w:pos="567"/>
      </w:tabs>
      <w:ind w:left="426" w:right="217"/>
      <w:outlineLvl w:val="2"/>
    </w:pPr>
    <w:rPr>
      <w:sz w:val="24"/>
      <w:szCs w:val="24"/>
    </w:rPr>
  </w:style>
  <w:style w:type="paragraph" w:styleId="Heading4">
    <w:name w:val="heading 4"/>
    <w:basedOn w:val="Normal"/>
    <w:next w:val="Normal"/>
    <w:qFormat/>
    <w:rsid w:val="00C42064"/>
    <w:pPr>
      <w:keepNext/>
      <w:ind w:left="567" w:hanging="283"/>
      <w:jc w:val="center"/>
      <w:outlineLvl w:val="3"/>
    </w:pPr>
    <w:rPr>
      <w:sz w:val="24"/>
      <w:szCs w:val="24"/>
    </w:rPr>
  </w:style>
  <w:style w:type="paragraph" w:styleId="Heading5">
    <w:name w:val="heading 5"/>
    <w:basedOn w:val="Normal"/>
    <w:next w:val="Normal"/>
    <w:qFormat/>
    <w:rsid w:val="00C42064"/>
    <w:pPr>
      <w:keepNext/>
      <w:tabs>
        <w:tab w:val="left" w:pos="426"/>
        <w:tab w:val="left" w:pos="567"/>
      </w:tabs>
      <w:ind w:right="141"/>
      <w:jc w:val="center"/>
      <w:outlineLvl w:val="4"/>
    </w:pPr>
    <w:rPr>
      <w:sz w:val="24"/>
      <w:szCs w:val="24"/>
    </w:rPr>
  </w:style>
  <w:style w:type="paragraph" w:styleId="Heading6">
    <w:name w:val="heading 6"/>
    <w:basedOn w:val="Normal"/>
    <w:next w:val="Normal"/>
    <w:qFormat/>
    <w:rsid w:val="00C42064"/>
    <w:pPr>
      <w:keepNext/>
      <w:ind w:left="1280"/>
      <w:jc w:val="center"/>
      <w:outlineLvl w:val="5"/>
    </w:pPr>
    <w:rPr>
      <w:b/>
      <w:bCs/>
      <w:sz w:val="24"/>
      <w:szCs w:val="24"/>
    </w:rPr>
  </w:style>
  <w:style w:type="paragraph" w:styleId="Heading7">
    <w:name w:val="heading 7"/>
    <w:basedOn w:val="Normal"/>
    <w:next w:val="Normal"/>
    <w:qFormat/>
    <w:rsid w:val="00C42064"/>
    <w:pPr>
      <w:keepNext/>
      <w:tabs>
        <w:tab w:val="num" w:pos="360"/>
        <w:tab w:val="num" w:pos="426"/>
      </w:tabs>
      <w:ind w:left="709" w:hanging="709"/>
      <w:jc w:val="center"/>
      <w:outlineLvl w:val="6"/>
    </w:pPr>
    <w:rPr>
      <w:b/>
      <w:bCs/>
      <w:sz w:val="24"/>
      <w:szCs w:val="24"/>
    </w:rPr>
  </w:style>
  <w:style w:type="paragraph" w:styleId="Heading8">
    <w:name w:val="heading 8"/>
    <w:basedOn w:val="Normal"/>
    <w:next w:val="Normal"/>
    <w:qFormat/>
    <w:rsid w:val="00C42064"/>
    <w:pPr>
      <w:keepNext/>
      <w:tabs>
        <w:tab w:val="right" w:pos="567"/>
      </w:tabs>
      <w:ind w:left="350" w:right="217"/>
      <w:outlineLvl w:val="7"/>
    </w:pPr>
    <w:rPr>
      <w:b/>
      <w:bCs/>
      <w:color w:val="0000FF"/>
      <w:sz w:val="24"/>
      <w:szCs w:val="24"/>
    </w:rPr>
  </w:style>
  <w:style w:type="paragraph" w:styleId="Heading9">
    <w:name w:val="heading 9"/>
    <w:basedOn w:val="Normal"/>
    <w:next w:val="Normal"/>
    <w:qFormat/>
    <w:rsid w:val="00C42064"/>
    <w:pPr>
      <w:keepNext/>
      <w:outlineLvl w:val="8"/>
    </w:pPr>
    <w:rPr>
      <w:snapToGrid w:val="0"/>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42064"/>
    <w:pPr>
      <w:jc w:val="center"/>
    </w:pPr>
    <w:rPr>
      <w:rFonts w:cs="Traditional Arabic"/>
      <w:b/>
      <w:bCs/>
      <w:sz w:val="32"/>
    </w:rPr>
  </w:style>
  <w:style w:type="paragraph" w:styleId="BodyTextIndent2">
    <w:name w:val="Body Text Indent 2"/>
    <w:basedOn w:val="Normal"/>
    <w:semiHidden/>
    <w:rsid w:val="00C42064"/>
    <w:pPr>
      <w:ind w:left="709" w:hanging="425"/>
      <w:jc w:val="lowKashida"/>
    </w:pPr>
    <w:rPr>
      <w:rFonts w:cs="Traditional Arabic"/>
      <w:sz w:val="24"/>
    </w:rPr>
  </w:style>
  <w:style w:type="paragraph" w:styleId="BodyTextIndent3">
    <w:name w:val="Body Text Indent 3"/>
    <w:basedOn w:val="Normal"/>
    <w:semiHidden/>
    <w:rsid w:val="00C42064"/>
    <w:pPr>
      <w:ind w:left="426" w:hanging="142"/>
    </w:pPr>
    <w:rPr>
      <w:rFonts w:cs="Traditional Arabic"/>
      <w:sz w:val="24"/>
    </w:rPr>
  </w:style>
  <w:style w:type="paragraph" w:styleId="BodyTextIndent">
    <w:name w:val="Body Text Indent"/>
    <w:basedOn w:val="Normal"/>
    <w:semiHidden/>
    <w:rsid w:val="00C42064"/>
    <w:pPr>
      <w:tabs>
        <w:tab w:val="right" w:pos="851"/>
      </w:tabs>
      <w:ind w:left="1418" w:hanging="567"/>
      <w:jc w:val="lowKashida"/>
    </w:pPr>
    <w:rPr>
      <w:rFonts w:cs="Traditional Arabic"/>
      <w:sz w:val="24"/>
    </w:rPr>
  </w:style>
  <w:style w:type="paragraph" w:styleId="Footer">
    <w:name w:val="footer"/>
    <w:basedOn w:val="Normal"/>
    <w:link w:val="FooterChar"/>
    <w:uiPriority w:val="99"/>
    <w:rsid w:val="00C42064"/>
    <w:pPr>
      <w:tabs>
        <w:tab w:val="center" w:pos="4153"/>
        <w:tab w:val="right" w:pos="8306"/>
      </w:tabs>
    </w:pPr>
  </w:style>
  <w:style w:type="character" w:styleId="PageNumber">
    <w:name w:val="page number"/>
    <w:basedOn w:val="DefaultParagraphFont"/>
    <w:semiHidden/>
    <w:rsid w:val="00C42064"/>
  </w:style>
  <w:style w:type="paragraph" w:styleId="Header">
    <w:name w:val="header"/>
    <w:basedOn w:val="Normal"/>
    <w:link w:val="HeaderChar"/>
    <w:uiPriority w:val="99"/>
    <w:rsid w:val="00C42064"/>
    <w:pPr>
      <w:tabs>
        <w:tab w:val="center" w:pos="4153"/>
        <w:tab w:val="right" w:pos="8306"/>
      </w:tabs>
    </w:pPr>
  </w:style>
  <w:style w:type="paragraph" w:styleId="Subtitle">
    <w:name w:val="Subtitle"/>
    <w:basedOn w:val="Normal"/>
    <w:qFormat/>
    <w:rsid w:val="00C42064"/>
    <w:pPr>
      <w:jc w:val="center"/>
    </w:pPr>
    <w:rPr>
      <w:b/>
      <w:bCs/>
      <w:sz w:val="28"/>
      <w:szCs w:val="28"/>
    </w:rPr>
  </w:style>
  <w:style w:type="paragraph" w:styleId="BodyText">
    <w:name w:val="Body Text"/>
    <w:basedOn w:val="Normal"/>
    <w:semiHidden/>
    <w:rsid w:val="00C42064"/>
    <w:pPr>
      <w:jc w:val="lowKashida"/>
    </w:pPr>
    <w:rPr>
      <w:sz w:val="24"/>
      <w:szCs w:val="24"/>
    </w:rPr>
  </w:style>
  <w:style w:type="paragraph" w:styleId="BodyText3">
    <w:name w:val="Body Text 3"/>
    <w:basedOn w:val="Normal"/>
    <w:semiHidden/>
    <w:rsid w:val="00C42064"/>
    <w:pPr>
      <w:jc w:val="both"/>
    </w:pPr>
    <w:rPr>
      <w:sz w:val="24"/>
      <w:szCs w:val="24"/>
    </w:rPr>
  </w:style>
  <w:style w:type="paragraph" w:styleId="Caption">
    <w:name w:val="caption"/>
    <w:basedOn w:val="Normal"/>
    <w:next w:val="Normal"/>
    <w:qFormat/>
    <w:rsid w:val="00C42064"/>
    <w:pPr>
      <w:tabs>
        <w:tab w:val="num" w:pos="360"/>
        <w:tab w:val="num" w:pos="426"/>
      </w:tabs>
      <w:ind w:left="709" w:hanging="709"/>
    </w:pPr>
    <w:rPr>
      <w:sz w:val="24"/>
      <w:szCs w:val="24"/>
    </w:rPr>
  </w:style>
  <w:style w:type="paragraph" w:styleId="BodyText2">
    <w:name w:val="Body Text 2"/>
    <w:basedOn w:val="Normal"/>
    <w:semiHidden/>
    <w:rsid w:val="00C42064"/>
    <w:pPr>
      <w:jc w:val="center"/>
    </w:pPr>
    <w:rPr>
      <w:b/>
      <w:bCs/>
      <w:sz w:val="24"/>
      <w:szCs w:val="24"/>
    </w:rPr>
  </w:style>
  <w:style w:type="character" w:customStyle="1" w:styleId="longtext">
    <w:name w:val="long_text"/>
    <w:basedOn w:val="DefaultParagraphFont"/>
    <w:rsid w:val="00C42064"/>
  </w:style>
  <w:style w:type="paragraph" w:styleId="BalloonText">
    <w:name w:val="Balloon Text"/>
    <w:basedOn w:val="Normal"/>
    <w:link w:val="BalloonTextChar"/>
    <w:uiPriority w:val="99"/>
    <w:semiHidden/>
    <w:unhideWhenUsed/>
    <w:rsid w:val="00375DC2"/>
    <w:rPr>
      <w:rFonts w:ascii="Tahoma" w:hAnsi="Tahoma" w:cs="Tahoma"/>
      <w:sz w:val="16"/>
      <w:szCs w:val="16"/>
    </w:rPr>
  </w:style>
  <w:style w:type="character" w:customStyle="1" w:styleId="BalloonTextChar">
    <w:name w:val="Balloon Text Char"/>
    <w:basedOn w:val="DefaultParagraphFont"/>
    <w:link w:val="BalloonText"/>
    <w:uiPriority w:val="99"/>
    <w:semiHidden/>
    <w:rsid w:val="00375DC2"/>
    <w:rPr>
      <w:rFonts w:ascii="Tahoma" w:hAnsi="Tahoma" w:cs="Tahoma"/>
      <w:sz w:val="16"/>
      <w:szCs w:val="16"/>
    </w:rPr>
  </w:style>
  <w:style w:type="character" w:customStyle="1" w:styleId="FooterChar">
    <w:name w:val="Footer Char"/>
    <w:basedOn w:val="DefaultParagraphFont"/>
    <w:link w:val="Footer"/>
    <w:uiPriority w:val="99"/>
    <w:rsid w:val="00300BB8"/>
  </w:style>
  <w:style w:type="character" w:customStyle="1" w:styleId="HeaderChar">
    <w:name w:val="Header Char"/>
    <w:basedOn w:val="DefaultParagraphFont"/>
    <w:link w:val="Header"/>
    <w:uiPriority w:val="99"/>
    <w:rsid w:val="00481CBE"/>
  </w:style>
  <w:style w:type="paragraph" w:styleId="FootnoteText">
    <w:name w:val="footnote text"/>
    <w:basedOn w:val="Normal"/>
    <w:link w:val="FootnoteTextChar"/>
    <w:semiHidden/>
    <w:rsid w:val="006D255A"/>
    <w:pPr>
      <w:bidi/>
    </w:pPr>
    <w:rPr>
      <w:noProof/>
    </w:rPr>
  </w:style>
  <w:style w:type="character" w:customStyle="1" w:styleId="FootnoteTextChar">
    <w:name w:val="Footnote Text Char"/>
    <w:basedOn w:val="DefaultParagraphFont"/>
    <w:link w:val="FootnoteText"/>
    <w:semiHidden/>
    <w:rsid w:val="006D255A"/>
    <w:rPr>
      <w:noProof/>
    </w:rPr>
  </w:style>
  <w:style w:type="character" w:styleId="FootnoteReference">
    <w:name w:val="footnote reference"/>
    <w:basedOn w:val="DefaultParagraphFont"/>
    <w:semiHidden/>
    <w:rsid w:val="006D255A"/>
    <w:rPr>
      <w:vertAlign w:val="superscript"/>
    </w:rPr>
  </w:style>
  <w:style w:type="character" w:styleId="LineNumber">
    <w:name w:val="line number"/>
    <w:basedOn w:val="DefaultParagraphFont"/>
    <w:uiPriority w:val="99"/>
    <w:semiHidden/>
    <w:unhideWhenUsed/>
    <w:rsid w:val="000D0272"/>
  </w:style>
  <w:style w:type="character" w:customStyle="1" w:styleId="hps">
    <w:name w:val="hps"/>
    <w:basedOn w:val="DefaultParagraphFont"/>
    <w:rsid w:val="004E0384"/>
  </w:style>
  <w:style w:type="table" w:styleId="TableGrid">
    <w:name w:val="Table Grid"/>
    <w:basedOn w:val="TableNormal"/>
    <w:uiPriority w:val="59"/>
    <w:rsid w:val="00CE59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73E5"/>
    <w:pPr>
      <w:ind w:left="720"/>
      <w:contextualSpacing/>
    </w:pPr>
  </w:style>
  <w:style w:type="character" w:customStyle="1" w:styleId="shorttext">
    <w:name w:val="short_text"/>
    <w:basedOn w:val="DefaultParagraphFont"/>
    <w:rsid w:val="00E5379E"/>
  </w:style>
  <w:style w:type="paragraph" w:styleId="HTMLPreformatted">
    <w:name w:val="HTML Preformatted"/>
    <w:basedOn w:val="Normal"/>
    <w:link w:val="HTMLPreformattedChar"/>
    <w:uiPriority w:val="99"/>
    <w:semiHidden/>
    <w:unhideWhenUsed/>
    <w:rsid w:val="00396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396B22"/>
    <w:rPr>
      <w:rFonts w:ascii="Courier New" w:hAnsi="Courier New" w:cs="Courier New"/>
    </w:rPr>
  </w:style>
  <w:style w:type="paragraph" w:customStyle="1" w:styleId="Default">
    <w:name w:val="Default"/>
    <w:rsid w:val="00E853E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80835">
      <w:bodyDiv w:val="1"/>
      <w:marLeft w:val="0"/>
      <w:marRight w:val="0"/>
      <w:marTop w:val="0"/>
      <w:marBottom w:val="0"/>
      <w:divBdr>
        <w:top w:val="none" w:sz="0" w:space="0" w:color="auto"/>
        <w:left w:val="none" w:sz="0" w:space="0" w:color="auto"/>
        <w:bottom w:val="none" w:sz="0" w:space="0" w:color="auto"/>
        <w:right w:val="none" w:sz="0" w:space="0" w:color="auto"/>
      </w:divBdr>
    </w:div>
    <w:div w:id="1188909244">
      <w:bodyDiv w:val="1"/>
      <w:marLeft w:val="0"/>
      <w:marRight w:val="0"/>
      <w:marTop w:val="0"/>
      <w:marBottom w:val="0"/>
      <w:divBdr>
        <w:top w:val="none" w:sz="0" w:space="0" w:color="auto"/>
        <w:left w:val="none" w:sz="0" w:space="0" w:color="auto"/>
        <w:bottom w:val="none" w:sz="0" w:space="0" w:color="auto"/>
        <w:right w:val="none" w:sz="0" w:space="0" w:color="auto"/>
      </w:divBdr>
    </w:div>
    <w:div w:id="1207139037">
      <w:bodyDiv w:val="1"/>
      <w:marLeft w:val="0"/>
      <w:marRight w:val="0"/>
      <w:marTop w:val="0"/>
      <w:marBottom w:val="0"/>
      <w:divBdr>
        <w:top w:val="none" w:sz="0" w:space="0" w:color="auto"/>
        <w:left w:val="none" w:sz="0" w:space="0" w:color="auto"/>
        <w:bottom w:val="none" w:sz="0" w:space="0" w:color="auto"/>
        <w:right w:val="none" w:sz="0" w:space="0" w:color="auto"/>
      </w:divBdr>
    </w:div>
    <w:div w:id="1248733067">
      <w:bodyDiv w:val="1"/>
      <w:marLeft w:val="0"/>
      <w:marRight w:val="0"/>
      <w:marTop w:val="0"/>
      <w:marBottom w:val="0"/>
      <w:divBdr>
        <w:top w:val="none" w:sz="0" w:space="0" w:color="auto"/>
        <w:left w:val="none" w:sz="0" w:space="0" w:color="auto"/>
        <w:bottom w:val="none" w:sz="0" w:space="0" w:color="auto"/>
        <w:right w:val="none" w:sz="0" w:space="0" w:color="auto"/>
      </w:divBdr>
    </w:div>
    <w:div w:id="1250769551">
      <w:bodyDiv w:val="1"/>
      <w:marLeft w:val="0"/>
      <w:marRight w:val="0"/>
      <w:marTop w:val="0"/>
      <w:marBottom w:val="0"/>
      <w:divBdr>
        <w:top w:val="none" w:sz="0" w:space="0" w:color="auto"/>
        <w:left w:val="none" w:sz="0" w:space="0" w:color="auto"/>
        <w:bottom w:val="none" w:sz="0" w:space="0" w:color="auto"/>
        <w:right w:val="none" w:sz="0" w:space="0" w:color="auto"/>
      </w:divBdr>
    </w:div>
    <w:div w:id="125967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8862145908232062"/>
          <c:y val="0.15483412216963321"/>
          <c:w val="0.36467729828406942"/>
          <c:h val="0.74048026427867775"/>
        </c:manualLayout>
      </c:layout>
      <c:pieChart>
        <c:varyColors val="1"/>
        <c:ser>
          <c:idx val="0"/>
          <c:order val="0"/>
          <c:tx>
            <c:strRef>
              <c:f>Sheet1!$B$1</c:f>
              <c:strCache>
                <c:ptCount val="1"/>
                <c:pt idx="0">
                  <c:v>.</c:v>
                </c:pt>
              </c:strCache>
            </c:strRef>
          </c:tx>
          <c:explosion val="25"/>
          <c:dLbls>
            <c:dLbl>
              <c:idx val="0"/>
              <c:layout>
                <c:manualLayout>
                  <c:x val="7.7197239659667308E-2"/>
                  <c:y val="0"/>
                </c:manualLayout>
              </c:layout>
              <c:tx>
                <c:rich>
                  <a:bodyPr/>
                  <a:lstStyle/>
                  <a:p>
                    <a:r>
                      <a:rPr lang="en-US" sz="900" baseline="0">
                        <a:latin typeface="Arial" pitchFamily="34" charset="0"/>
                        <a:cs typeface="Arial" pitchFamily="34" charset="0"/>
                      </a:rPr>
                      <a:t>F</a:t>
                    </a:r>
                    <a:r>
                      <a:rPr lang="en-US"/>
                      <a:t>oreign Direct Investment </a:t>
                    </a:r>
                    <a:r>
                      <a:rPr lang="en-US" sz="900" b="0" i="0" u="none" strike="noStrike" baseline="0"/>
                      <a:t>Stocks </a:t>
                    </a:r>
                    <a:r>
                      <a:rPr lang="en-US"/>
                      <a:t>4.9%</a:t>
                    </a:r>
                  </a:p>
                </c:rich>
              </c:tx>
              <c:showLegendKey val="0"/>
              <c:showVal val="1"/>
              <c:showCatName val="1"/>
              <c:showSerName val="0"/>
              <c:showPercent val="0"/>
              <c:showBubbleSize val="0"/>
              <c:separator>
</c:separator>
            </c:dLbl>
            <c:dLbl>
              <c:idx val="1"/>
              <c:layout>
                <c:manualLayout>
                  <c:x val="0.10889613063073071"/>
                  <c:y val="0.16245382156756727"/>
                </c:manualLayout>
              </c:layout>
              <c:tx>
                <c:rich>
                  <a:bodyPr/>
                  <a:lstStyle/>
                  <a:p>
                    <a:r>
                      <a:rPr lang="en-US"/>
                      <a:t>Portfolio Investments </a:t>
                    </a:r>
                    <a:r>
                      <a:rPr lang="en-US" sz="900" b="0" i="0" u="none" strike="noStrike" baseline="0"/>
                      <a:t>Stocks</a:t>
                    </a:r>
                    <a:r>
                      <a:rPr lang="en-US"/>
                      <a:t>
22.3%</a:t>
                    </a:r>
                  </a:p>
                </c:rich>
              </c:tx>
              <c:showLegendKey val="0"/>
              <c:showVal val="1"/>
              <c:showCatName val="1"/>
              <c:showSerName val="0"/>
              <c:showPercent val="0"/>
              <c:showBubbleSize val="0"/>
              <c:separator>
</c:separator>
            </c:dLbl>
            <c:dLbl>
              <c:idx val="2"/>
              <c:layout>
                <c:manualLayout>
                  <c:x val="-5.7935405133182023E-2"/>
                  <c:y val="-5.9133090615719953E-2"/>
                </c:manualLayout>
              </c:layout>
              <c:tx>
                <c:rich>
                  <a:bodyPr/>
                  <a:lstStyle/>
                  <a:p>
                    <a:r>
                      <a:rPr lang="en-US"/>
                      <a:t>Other Investments </a:t>
                    </a:r>
                    <a:r>
                      <a:rPr lang="en-US" sz="900" b="0" i="0" u="none" strike="noStrike" baseline="0"/>
                      <a:t>Stocks</a:t>
                    </a:r>
                    <a:r>
                      <a:rPr lang="en-US"/>
                      <a:t>
64.4%</a:t>
                    </a:r>
                  </a:p>
                </c:rich>
              </c:tx>
              <c:showLegendKey val="0"/>
              <c:showVal val="1"/>
              <c:showCatName val="1"/>
              <c:showSerName val="0"/>
              <c:showPercent val="0"/>
              <c:showBubbleSize val="0"/>
              <c:separator>
</c:separator>
            </c:dLbl>
            <c:dLbl>
              <c:idx val="3"/>
              <c:layout>
                <c:manualLayout>
                  <c:x val="-7.2900778707009464E-2"/>
                  <c:y val="-1.3363329583802796E-2"/>
                </c:manualLayout>
              </c:layout>
              <c:tx>
                <c:rich>
                  <a:bodyPr/>
                  <a:lstStyle/>
                  <a:p>
                    <a:pPr lvl="1" algn="ctr" rtl="0">
                      <a:defRPr sz="900" b="0" i="0" u="none" strike="noStrike" kern="1200" baseline="0">
                        <a:solidFill>
                          <a:sysClr val="windowText" lastClr="000000"/>
                        </a:solidFill>
                        <a:latin typeface="Arial" pitchFamily="34" charset="0"/>
                        <a:ea typeface="+mn-ea"/>
                        <a:cs typeface="Arial" pitchFamily="34" charset="0"/>
                      </a:defRPr>
                    </a:pPr>
                    <a:r>
                      <a:rPr lang="en-US"/>
                      <a:t>Reserve Assets Stocks
8.4%</a:t>
                    </a:r>
                  </a:p>
                </c:rich>
              </c:tx>
              <c:spPr/>
              <c:showLegendKey val="0"/>
              <c:showVal val="1"/>
              <c:showCatName val="1"/>
              <c:showSerName val="0"/>
              <c:showPercent val="0"/>
              <c:showBubbleSize val="0"/>
              <c:separator>
</c:separator>
            </c:dLbl>
            <c:showLegendKey val="0"/>
            <c:showVal val="1"/>
            <c:showCatName val="1"/>
            <c:showSerName val="0"/>
            <c:showPercent val="0"/>
            <c:showBubbleSize val="0"/>
            <c:separator>
</c:separator>
            <c:showLeaderLines val="1"/>
            <c:leaderLines>
              <c:spPr>
                <a:ln w="6350">
                  <a:solidFill>
                    <a:sysClr val="windowText" lastClr="000000"/>
                  </a:solidFill>
                </a:ln>
              </c:spPr>
            </c:leaderLines>
          </c:dLbls>
          <c:cat>
            <c:strRef>
              <c:f>Sheet1!$A$2:$A$5</c:f>
              <c:strCache>
                <c:ptCount val="4"/>
                <c:pt idx="0">
                  <c:v>Foreign Direct Investment</c:v>
                </c:pt>
                <c:pt idx="1">
                  <c:v>Portfolio Investments</c:v>
                </c:pt>
                <c:pt idx="2">
                  <c:v>Other Investments</c:v>
                </c:pt>
                <c:pt idx="3">
                  <c:v>Reserve Assets</c:v>
                </c:pt>
              </c:strCache>
            </c:strRef>
          </c:cat>
          <c:val>
            <c:numRef>
              <c:f>Sheet1!$B$2:$B$5</c:f>
              <c:numCache>
                <c:formatCode>0.0</c:formatCode>
                <c:ptCount val="4"/>
                <c:pt idx="0">
                  <c:v>4.9000000000000004</c:v>
                </c:pt>
                <c:pt idx="1">
                  <c:v>22.3</c:v>
                </c:pt>
                <c:pt idx="2">
                  <c:v>64.400000000000006</c:v>
                </c:pt>
                <c:pt idx="3">
                  <c:v>8.4</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ln w="12700" cap="rnd">
      <a:noFill/>
    </a:ln>
  </c:spPr>
  <c:txPr>
    <a:bodyPr/>
    <a:lstStyle/>
    <a:p>
      <a:pPr>
        <a:defRPr sz="900">
          <a:latin typeface="Arial" pitchFamily="34" charset="0"/>
          <a:cs typeface="Arial"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4277274457844581"/>
          <c:y val="0.15280526189206825"/>
          <c:w val="0.3288881859457366"/>
          <c:h val="0.72626198617603077"/>
        </c:manualLayout>
      </c:layout>
      <c:pieChart>
        <c:varyColors val="1"/>
        <c:ser>
          <c:idx val="0"/>
          <c:order val="0"/>
          <c:tx>
            <c:strRef>
              <c:f>Sheet1!$B$1</c:f>
              <c:strCache>
                <c:ptCount val="1"/>
                <c:pt idx="0">
                  <c:v>.</c:v>
                </c:pt>
              </c:strCache>
            </c:strRef>
          </c:tx>
          <c:explosion val="25"/>
          <c:dPt>
            <c:idx val="0"/>
            <c:bubble3D val="0"/>
            <c:spPr>
              <a:ln>
                <a:solidFill>
                  <a:schemeClr val="tx1">
                    <a:lumMod val="65000"/>
                    <a:lumOff val="35000"/>
                  </a:schemeClr>
                </a:solidFill>
              </a:ln>
            </c:spPr>
          </c:dPt>
          <c:dLbls>
            <c:dLbl>
              <c:idx val="0"/>
              <c:layout>
                <c:manualLayout>
                  <c:x val="6.2099409212049449E-2"/>
                  <c:y val="-0.26526921186644498"/>
                </c:manualLayout>
              </c:layout>
              <c:tx>
                <c:rich>
                  <a:bodyPr/>
                  <a:lstStyle/>
                  <a:p>
                    <a:r>
                      <a:rPr lang="en-US" sz="900">
                        <a:latin typeface="Arial" pitchFamily="34" charset="0"/>
                        <a:cs typeface="Arial" pitchFamily="34" charset="0"/>
                      </a:rPr>
                      <a:t>Foreign Direct Investment </a:t>
                    </a:r>
                    <a:r>
                      <a:rPr lang="en-US" sz="900" b="0" i="0" u="none" strike="noStrike" baseline="0"/>
                      <a:t>Stocks</a:t>
                    </a:r>
                    <a:r>
                      <a:rPr lang="en-US" sz="900">
                        <a:latin typeface="Arial" pitchFamily="34" charset="0"/>
                        <a:cs typeface="Arial" pitchFamily="34" charset="0"/>
                      </a:rPr>
                      <a:t>
59.8%</a:t>
                    </a:r>
                  </a:p>
                </c:rich>
              </c:tx>
              <c:showLegendKey val="0"/>
              <c:showVal val="0"/>
              <c:showCatName val="1"/>
              <c:showSerName val="0"/>
              <c:showPercent val="0"/>
              <c:showBubbleSize val="0"/>
              <c:separator>
</c:separator>
            </c:dLbl>
            <c:dLbl>
              <c:idx val="1"/>
              <c:layout>
                <c:manualLayout>
                  <c:x val="-2.807812935977046E-2"/>
                  <c:y val="8.2868770115200843E-2"/>
                </c:manualLayout>
              </c:layout>
              <c:tx>
                <c:rich>
                  <a:bodyPr/>
                  <a:lstStyle/>
                  <a:p>
                    <a:r>
                      <a:rPr lang="en-US" sz="900">
                        <a:latin typeface="Arial" pitchFamily="34" charset="0"/>
                        <a:cs typeface="Arial" pitchFamily="34" charset="0"/>
                      </a:rPr>
                      <a:t>Portfolio Investments </a:t>
                    </a:r>
                    <a:r>
                      <a:rPr lang="en-US" sz="900" b="0" i="0" u="none" strike="noStrike" baseline="0"/>
                      <a:t>Stocks</a:t>
                    </a:r>
                    <a:r>
                      <a:rPr lang="en-US" sz="900">
                        <a:latin typeface="Arial" pitchFamily="34" charset="0"/>
                        <a:cs typeface="Arial" pitchFamily="34" charset="0"/>
                      </a:rPr>
                      <a:t>
24.8%</a:t>
                    </a:r>
                  </a:p>
                </c:rich>
              </c:tx>
              <c:showLegendKey val="0"/>
              <c:showVal val="0"/>
              <c:showCatName val="1"/>
              <c:showSerName val="0"/>
              <c:showPercent val="0"/>
              <c:showBubbleSize val="0"/>
              <c:separator>
</c:separator>
            </c:dLbl>
            <c:dLbl>
              <c:idx val="2"/>
              <c:layout>
                <c:manualLayout>
                  <c:x val="-5.2282485753702833E-2"/>
                  <c:y val="2.0055551544402743E-2"/>
                </c:manualLayout>
              </c:layout>
              <c:tx>
                <c:rich>
                  <a:bodyPr/>
                  <a:lstStyle/>
                  <a:p>
                    <a:r>
                      <a:rPr lang="en-US" sz="900">
                        <a:latin typeface="Arial" pitchFamily="34" charset="0"/>
                        <a:cs typeface="Arial" pitchFamily="34" charset="0"/>
                      </a:rPr>
                      <a:t>Other Investments </a:t>
                    </a:r>
                    <a:r>
                      <a:rPr lang="en-US" sz="900" b="0" i="0" u="none" strike="noStrike" baseline="0"/>
                      <a:t>Stocks</a:t>
                    </a:r>
                    <a:r>
                      <a:rPr lang="en-US" sz="900">
                        <a:latin typeface="Arial" pitchFamily="34" charset="0"/>
                        <a:cs typeface="Arial" pitchFamily="34" charset="0"/>
                      </a:rPr>
                      <a:t>
15.4%</a:t>
                    </a:r>
                  </a:p>
                </c:rich>
              </c:tx>
              <c:showLegendKey val="0"/>
              <c:showVal val="0"/>
              <c:showCatName val="1"/>
              <c:showSerName val="0"/>
              <c:showPercent val="0"/>
              <c:showBubbleSize val="0"/>
              <c:separator>
</c:separator>
            </c:dLbl>
            <c:txPr>
              <a:bodyPr/>
              <a:lstStyle/>
              <a:p>
                <a:pPr>
                  <a:defRPr sz="900">
                    <a:latin typeface="Arial" pitchFamily="34" charset="0"/>
                    <a:cs typeface="Arial" pitchFamily="34" charset="0"/>
                  </a:defRPr>
                </a:pPr>
                <a:endParaRPr lang="en-US"/>
              </a:p>
            </c:txPr>
            <c:showLegendKey val="0"/>
            <c:showVal val="0"/>
            <c:showCatName val="1"/>
            <c:showSerName val="0"/>
            <c:showPercent val="0"/>
            <c:showBubbleSize val="0"/>
            <c:separator>
</c:separator>
            <c:showLeaderLines val="1"/>
          </c:dLbls>
          <c:cat>
            <c:strRef>
              <c:f>Sheet1!$A$2:$A$4</c:f>
              <c:strCache>
                <c:ptCount val="3"/>
                <c:pt idx="0">
                  <c:v>Foreign Direct Investment</c:v>
                </c:pt>
                <c:pt idx="1">
                  <c:v>Portfolio Investments</c:v>
                </c:pt>
                <c:pt idx="2">
                  <c:v>Other Investments</c:v>
                </c:pt>
              </c:strCache>
            </c:strRef>
          </c:cat>
          <c:val>
            <c:numRef>
              <c:f>Sheet1!$B$2:$B$4</c:f>
              <c:numCache>
                <c:formatCode>0.0</c:formatCode>
                <c:ptCount val="3"/>
                <c:pt idx="0">
                  <c:v>59.816264035386041</c:v>
                </c:pt>
                <c:pt idx="1">
                  <c:v>24.770330044232729</c:v>
                </c:pt>
                <c:pt idx="2">
                  <c:v>15.413405920381082</c:v>
                </c:pt>
              </c:numCache>
            </c:numRef>
          </c:val>
        </c:ser>
        <c:dLbls>
          <c:showLegendKey val="0"/>
          <c:showVal val="0"/>
          <c:showCatName val="1"/>
          <c:showSerName val="0"/>
          <c:showPercent val="0"/>
          <c:showBubbleSize val="0"/>
          <c:showLeaderLines val="1"/>
        </c:dLbls>
        <c:firstSliceAng val="0"/>
      </c:pieChart>
      <c:spPr>
        <a:ln w="9525"/>
      </c:spPr>
    </c:plotArea>
    <c:plotVisOnly val="1"/>
    <c:dispBlanksAs val="gap"/>
    <c:showDLblsOverMax val="0"/>
  </c:chart>
  <c:spPr>
    <a:noFill/>
    <a:ln w="6350" cap="rnd" cmpd="sng" algn="ctr">
      <a:noFill/>
      <a:prstDash val="solid"/>
      <a:roun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65EF0-27C2-47A4-9615-D57E1B298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ECBC3BAD</Template>
  <TotalTime>0</TotalTime>
  <Pages>9</Pages>
  <Words>1840</Words>
  <Characters>10489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Default Normal Template</vt:lpstr>
    </vt:vector>
  </TitlesOfParts>
  <Company>PCBS</Company>
  <LinksUpToDate>false</LinksUpToDate>
  <CharactersWithSpaces>12305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 Normal Template</dc:title>
  <dc:creator>IBRAHIM</dc:creator>
  <cp:lastModifiedBy>Ishita PANT EC</cp:lastModifiedBy>
  <cp:revision>2</cp:revision>
  <cp:lastPrinted>2019-11-12T07:42:00Z</cp:lastPrinted>
  <dcterms:created xsi:type="dcterms:W3CDTF">2020-04-28T09:49:00Z</dcterms:created>
  <dcterms:modified xsi:type="dcterms:W3CDTF">2020-04-28T09:49:00Z</dcterms:modified>
</cp:coreProperties>
</file>